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63B0" w14:textId="77777777" w:rsidR="00441828" w:rsidRDefault="00441828" w:rsidP="00D96A5C">
      <w:pPr>
        <w:pStyle w:val="Subtitle"/>
        <w:jc w:val="center"/>
      </w:pPr>
      <w:r>
        <w:rPr>
          <w:noProof/>
        </w:rPr>
        <w:drawing>
          <wp:inline distT="0" distB="0" distL="0" distR="0" wp14:anchorId="46268ED6" wp14:editId="50427D29">
            <wp:extent cx="380588" cy="5029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_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588" cy="502920"/>
                    </a:xfrm>
                    <a:prstGeom prst="rect">
                      <a:avLst/>
                    </a:prstGeom>
                  </pic:spPr>
                </pic:pic>
              </a:graphicData>
            </a:graphic>
          </wp:inline>
        </w:drawing>
      </w:r>
    </w:p>
    <w:p w14:paraId="6E463B31" w14:textId="7B48491A" w:rsidR="00772BE9" w:rsidRDefault="007507FD" w:rsidP="00B62CDE">
      <w:pPr>
        <w:pStyle w:val="Subtitle"/>
        <w:jc w:val="center"/>
      </w:pPr>
      <w:r w:rsidRPr="007507FD">
        <w:t>R</w:t>
      </w:r>
      <w:r w:rsidR="00673913">
        <w:t xml:space="preserve">ights and Resources Initiative | </w:t>
      </w:r>
      <w:r w:rsidR="007E6CCC">
        <w:t>novembro de</w:t>
      </w:r>
      <w:r w:rsidRPr="007507FD">
        <w:t xml:space="preserve"> 20</w:t>
      </w:r>
      <w:r w:rsidR="00AA635E">
        <w:t>2</w:t>
      </w:r>
      <w:r w:rsidR="00A71AAE">
        <w:t>1</w:t>
      </w:r>
    </w:p>
    <w:p w14:paraId="1759AD75" w14:textId="77777777" w:rsidR="00673913" w:rsidRPr="00673913" w:rsidRDefault="00673913" w:rsidP="00673913">
      <w:pPr>
        <w:jc w:val="center"/>
      </w:pPr>
      <w:r>
        <w:rPr>
          <w:noProof/>
        </w:rPr>
        <w:drawing>
          <wp:inline distT="0" distB="0" distL="0" distR="0" wp14:anchorId="21C86A6F" wp14:editId="20A7E451">
            <wp:extent cx="57150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divider.png"/>
                    <pic:cNvPicPr/>
                  </pic:nvPicPr>
                  <pic:blipFill>
                    <a:blip r:embed="rId9">
                      <a:extLst>
                        <a:ext uri="{28A0092B-C50C-407E-A947-70E740481C1C}">
                          <a14:useLocalDpi xmlns:a14="http://schemas.microsoft.com/office/drawing/2010/main" val="0"/>
                        </a:ext>
                      </a:extLst>
                    </a:blip>
                    <a:stretch>
                      <a:fillRect/>
                    </a:stretch>
                  </pic:blipFill>
                  <pic:spPr>
                    <a:xfrm>
                      <a:off x="0" y="0"/>
                      <a:ext cx="5715000" cy="495300"/>
                    </a:xfrm>
                    <a:prstGeom prst="rect">
                      <a:avLst/>
                    </a:prstGeom>
                  </pic:spPr>
                </pic:pic>
              </a:graphicData>
            </a:graphic>
          </wp:inline>
        </w:drawing>
      </w:r>
    </w:p>
    <w:p w14:paraId="4F20C49D" w14:textId="45FE4843" w:rsidR="00201CB9" w:rsidRPr="00201CB9" w:rsidRDefault="007E6CCC" w:rsidP="00201CB9">
      <w:pPr>
        <w:pStyle w:val="Title"/>
        <w:jc w:val="center"/>
        <w:rPr>
          <w:i w:val="0"/>
          <w:iCs/>
        </w:rPr>
      </w:pPr>
      <w:r w:rsidRPr="00A77962">
        <w:rPr>
          <w:i w:val="0"/>
          <w:iCs/>
          <w:lang w:val="pt-BR"/>
        </w:rPr>
        <w:t>Suplemento 2021 para a Estrutura de Oportunidades da RRI</w:t>
      </w:r>
    </w:p>
    <w:p w14:paraId="66600F48" w14:textId="68789960" w:rsidR="007507FD" w:rsidRPr="00201CB9" w:rsidRDefault="007E6CCC" w:rsidP="00201CB9">
      <w:pPr>
        <w:pStyle w:val="Title"/>
        <w:jc w:val="center"/>
        <w:rPr>
          <w:sz w:val="30"/>
          <w:szCs w:val="30"/>
        </w:rPr>
      </w:pPr>
      <w:r w:rsidRPr="00A77962">
        <w:rPr>
          <w:sz w:val="30"/>
          <w:szCs w:val="30"/>
          <w:lang w:val="pt-BR"/>
        </w:rPr>
        <w:t>Avaliações atualizadas de oportunidades de posse em 20 países</w:t>
      </w:r>
    </w:p>
    <w:p w14:paraId="781FE541" w14:textId="77777777" w:rsidR="00D96A5C" w:rsidRPr="00D96A5C" w:rsidRDefault="00D96A5C" w:rsidP="00E01AD2">
      <w:pPr>
        <w:spacing w:after="360"/>
        <w:jc w:val="center"/>
      </w:pPr>
      <w:r>
        <w:rPr>
          <w:noProof/>
        </w:rPr>
        <w:drawing>
          <wp:inline distT="0" distB="0" distL="0" distR="0" wp14:anchorId="63EEAF8C" wp14:editId="56D16992">
            <wp:extent cx="57150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divider.png"/>
                    <pic:cNvPicPr/>
                  </pic:nvPicPr>
                  <pic:blipFill>
                    <a:blip r:embed="rId9">
                      <a:extLst>
                        <a:ext uri="{28A0092B-C50C-407E-A947-70E740481C1C}">
                          <a14:useLocalDpi xmlns:a14="http://schemas.microsoft.com/office/drawing/2010/main" val="0"/>
                        </a:ext>
                      </a:extLst>
                    </a:blip>
                    <a:stretch>
                      <a:fillRect/>
                    </a:stretch>
                  </pic:blipFill>
                  <pic:spPr>
                    <a:xfrm>
                      <a:off x="0" y="0"/>
                      <a:ext cx="5715000" cy="495300"/>
                    </a:xfrm>
                    <a:prstGeom prst="rect">
                      <a:avLst/>
                    </a:prstGeom>
                  </pic:spPr>
                </pic:pic>
              </a:graphicData>
            </a:graphic>
          </wp:inline>
        </w:drawing>
      </w:r>
    </w:p>
    <w:sdt>
      <w:sdtPr>
        <w:rPr>
          <w:rFonts w:ascii="Open Sans" w:eastAsia="Times New Roman" w:hAnsi="Open Sans" w:cs="Open Sans"/>
          <w:color w:val="444444"/>
          <w:sz w:val="22"/>
          <w:szCs w:val="22"/>
        </w:rPr>
        <w:id w:val="-507450493"/>
        <w:docPartObj>
          <w:docPartGallery w:val="Table of Contents"/>
          <w:docPartUnique/>
        </w:docPartObj>
      </w:sdtPr>
      <w:sdtEndPr>
        <w:rPr>
          <w:noProof/>
          <w:sz w:val="20"/>
        </w:rPr>
      </w:sdtEndPr>
      <w:sdtContent>
        <w:p w14:paraId="7AAAED17" w14:textId="77777777" w:rsidR="00673913" w:rsidRDefault="00673913">
          <w:pPr>
            <w:pStyle w:val="TOCHeading"/>
            <w:rPr>
              <w:rFonts w:ascii="Open Sans" w:eastAsia="Times New Roman" w:hAnsi="Open Sans" w:cs="Open Sans"/>
              <w:color w:val="444444"/>
              <w:sz w:val="22"/>
              <w:szCs w:val="22"/>
            </w:rPr>
          </w:pPr>
        </w:p>
        <w:p w14:paraId="0A567C93" w14:textId="77777777" w:rsidR="00673913" w:rsidRDefault="00673913" w:rsidP="00673913">
          <w:r>
            <w:br w:type="page"/>
          </w:r>
        </w:p>
        <w:p w14:paraId="047A7A23" w14:textId="77777777" w:rsidR="002060A4" w:rsidRDefault="00B352BD" w:rsidP="00DA002E">
          <w:pPr>
            <w:pStyle w:val="TOCHeading"/>
            <w:rPr>
              <w:noProof/>
            </w:rPr>
          </w:pPr>
          <w:bookmarkStart w:id="0" w:name="_Toc88152351"/>
          <w:bookmarkStart w:id="1" w:name="_Toc103764055"/>
          <w:proofErr w:type="spellStart"/>
          <w:r w:rsidRPr="007513DD">
            <w:rPr>
              <w:rStyle w:val="Heading1Char"/>
              <w:rFonts w:eastAsiaTheme="majorEastAsia"/>
            </w:rPr>
            <w:lastRenderedPageBreak/>
            <w:t>Conte</w:t>
          </w:r>
          <w:bookmarkEnd w:id="0"/>
          <w:r w:rsidR="007E6CCC">
            <w:rPr>
              <w:rStyle w:val="Heading1Char"/>
              <w:rFonts w:eastAsiaTheme="majorEastAsia"/>
            </w:rPr>
            <w:t>údo</w:t>
          </w:r>
          <w:bookmarkEnd w:id="1"/>
          <w:proofErr w:type="spellEnd"/>
          <w:r w:rsidRPr="001D00F8">
            <w:fldChar w:fldCharType="begin"/>
          </w:r>
          <w:r w:rsidRPr="001D00F8">
            <w:instrText xml:space="preserve"> TOC \o "1-3" \h \z \u </w:instrText>
          </w:r>
          <w:r w:rsidRPr="001D00F8">
            <w:fldChar w:fldCharType="separate"/>
          </w:r>
        </w:p>
        <w:p w14:paraId="0DCCDF7D" w14:textId="0DE4A923" w:rsidR="002060A4" w:rsidRDefault="002060A4">
          <w:pPr>
            <w:pStyle w:val="TOC1"/>
            <w:rPr>
              <w:rFonts w:asciiTheme="minorHAnsi" w:eastAsiaTheme="minorEastAsia" w:hAnsiTheme="minorHAnsi" w:cstheme="minorBidi"/>
              <w:b w:val="0"/>
              <w:bCs w:val="0"/>
              <w:color w:val="auto"/>
              <w:sz w:val="24"/>
              <w:szCs w:val="24"/>
            </w:rPr>
          </w:pPr>
          <w:hyperlink w:anchor="_Toc103764056" w:history="1">
            <w:r w:rsidRPr="002F2E2C">
              <w:rPr>
                <w:rStyle w:val="Hyperlink"/>
              </w:rPr>
              <w:t>Agradecimentos</w:t>
            </w:r>
            <w:r>
              <w:rPr>
                <w:webHidden/>
              </w:rPr>
              <w:tab/>
            </w:r>
            <w:r>
              <w:rPr>
                <w:webHidden/>
              </w:rPr>
              <w:fldChar w:fldCharType="begin"/>
            </w:r>
            <w:r>
              <w:rPr>
                <w:webHidden/>
              </w:rPr>
              <w:instrText xml:space="preserve"> PAGEREF _Toc103764056 \h </w:instrText>
            </w:r>
            <w:r>
              <w:rPr>
                <w:webHidden/>
              </w:rPr>
            </w:r>
            <w:r>
              <w:rPr>
                <w:webHidden/>
              </w:rPr>
              <w:fldChar w:fldCharType="separate"/>
            </w:r>
            <w:r>
              <w:rPr>
                <w:webHidden/>
              </w:rPr>
              <w:t>3</w:t>
            </w:r>
            <w:r>
              <w:rPr>
                <w:webHidden/>
              </w:rPr>
              <w:fldChar w:fldCharType="end"/>
            </w:r>
          </w:hyperlink>
        </w:p>
        <w:p w14:paraId="07A67B1B" w14:textId="463531BB" w:rsidR="002060A4" w:rsidRDefault="002060A4">
          <w:pPr>
            <w:pStyle w:val="TOC1"/>
            <w:rPr>
              <w:rFonts w:asciiTheme="minorHAnsi" w:eastAsiaTheme="minorEastAsia" w:hAnsiTheme="minorHAnsi" w:cstheme="minorBidi"/>
              <w:b w:val="0"/>
              <w:bCs w:val="0"/>
              <w:color w:val="auto"/>
              <w:sz w:val="24"/>
              <w:szCs w:val="24"/>
            </w:rPr>
          </w:pPr>
          <w:hyperlink w:anchor="_Toc103764057" w:history="1">
            <w:r w:rsidRPr="002F2E2C">
              <w:rPr>
                <w:rStyle w:val="Hyperlink"/>
              </w:rPr>
              <w:t>Introdução</w:t>
            </w:r>
            <w:r>
              <w:rPr>
                <w:webHidden/>
              </w:rPr>
              <w:tab/>
            </w:r>
            <w:r>
              <w:rPr>
                <w:webHidden/>
              </w:rPr>
              <w:fldChar w:fldCharType="begin"/>
            </w:r>
            <w:r>
              <w:rPr>
                <w:webHidden/>
              </w:rPr>
              <w:instrText xml:space="preserve"> PAGEREF _Toc103764057 \h </w:instrText>
            </w:r>
            <w:r>
              <w:rPr>
                <w:webHidden/>
              </w:rPr>
            </w:r>
            <w:r>
              <w:rPr>
                <w:webHidden/>
              </w:rPr>
              <w:fldChar w:fldCharType="separate"/>
            </w:r>
            <w:r>
              <w:rPr>
                <w:webHidden/>
              </w:rPr>
              <w:t>4</w:t>
            </w:r>
            <w:r>
              <w:rPr>
                <w:webHidden/>
              </w:rPr>
              <w:fldChar w:fldCharType="end"/>
            </w:r>
          </w:hyperlink>
        </w:p>
        <w:p w14:paraId="18CD733B" w14:textId="17889695" w:rsidR="002060A4" w:rsidRDefault="002060A4">
          <w:pPr>
            <w:pStyle w:val="TOC1"/>
            <w:rPr>
              <w:rFonts w:asciiTheme="minorHAnsi" w:eastAsiaTheme="minorEastAsia" w:hAnsiTheme="minorHAnsi" w:cstheme="minorBidi"/>
              <w:b w:val="0"/>
              <w:bCs w:val="0"/>
              <w:color w:val="auto"/>
              <w:sz w:val="24"/>
              <w:szCs w:val="24"/>
            </w:rPr>
          </w:pPr>
          <w:hyperlink w:anchor="_Toc103764058" w:history="1">
            <w:r w:rsidRPr="002F2E2C">
              <w:rPr>
                <w:rStyle w:val="Hyperlink"/>
                <w:lang w:val="pt-BR"/>
              </w:rPr>
              <w:t>Metodologia atualizada para componentes de prontidão do Sistema de Pontuação da Estrutura de Oportunidades</w:t>
            </w:r>
            <w:r>
              <w:rPr>
                <w:webHidden/>
              </w:rPr>
              <w:tab/>
            </w:r>
            <w:r>
              <w:rPr>
                <w:webHidden/>
              </w:rPr>
              <w:fldChar w:fldCharType="begin"/>
            </w:r>
            <w:r>
              <w:rPr>
                <w:webHidden/>
              </w:rPr>
              <w:instrText xml:space="preserve"> PAGEREF _Toc103764058 \h </w:instrText>
            </w:r>
            <w:r>
              <w:rPr>
                <w:webHidden/>
              </w:rPr>
            </w:r>
            <w:r>
              <w:rPr>
                <w:webHidden/>
              </w:rPr>
              <w:fldChar w:fldCharType="separate"/>
            </w:r>
            <w:r>
              <w:rPr>
                <w:webHidden/>
              </w:rPr>
              <w:t>5</w:t>
            </w:r>
            <w:r>
              <w:rPr>
                <w:webHidden/>
              </w:rPr>
              <w:fldChar w:fldCharType="end"/>
            </w:r>
          </w:hyperlink>
        </w:p>
        <w:p w14:paraId="1CCA6FA9" w14:textId="1DD5765C" w:rsidR="002060A4" w:rsidRDefault="002060A4">
          <w:pPr>
            <w:pStyle w:val="TOC3"/>
            <w:tabs>
              <w:tab w:val="right" w:leader="dot" w:pos="9350"/>
            </w:tabs>
            <w:rPr>
              <w:rFonts w:asciiTheme="minorHAnsi" w:eastAsiaTheme="minorEastAsia" w:hAnsiTheme="minorHAnsi" w:cstheme="minorBidi"/>
              <w:noProof/>
              <w:color w:val="auto"/>
              <w:sz w:val="24"/>
              <w:szCs w:val="24"/>
            </w:rPr>
          </w:pPr>
          <w:hyperlink w:anchor="_Toc103764059" w:history="1">
            <w:r w:rsidRPr="002F2E2C">
              <w:rPr>
                <w:rStyle w:val="Hyperlink"/>
                <w:noProof/>
                <w:lang w:val="pt-BR"/>
              </w:rPr>
              <w:t>Tabela 1. Metodologia Atualizada da Estrutura de Oportunidades</w:t>
            </w:r>
            <w:r>
              <w:rPr>
                <w:noProof/>
                <w:webHidden/>
              </w:rPr>
              <w:tab/>
            </w:r>
            <w:r>
              <w:rPr>
                <w:noProof/>
                <w:webHidden/>
              </w:rPr>
              <w:fldChar w:fldCharType="begin"/>
            </w:r>
            <w:r>
              <w:rPr>
                <w:noProof/>
                <w:webHidden/>
              </w:rPr>
              <w:instrText xml:space="preserve"> PAGEREF _Toc103764059 \h </w:instrText>
            </w:r>
            <w:r>
              <w:rPr>
                <w:noProof/>
                <w:webHidden/>
              </w:rPr>
            </w:r>
            <w:r>
              <w:rPr>
                <w:noProof/>
                <w:webHidden/>
              </w:rPr>
              <w:fldChar w:fldCharType="separate"/>
            </w:r>
            <w:r>
              <w:rPr>
                <w:noProof/>
                <w:webHidden/>
              </w:rPr>
              <w:t>5</w:t>
            </w:r>
            <w:r>
              <w:rPr>
                <w:noProof/>
                <w:webHidden/>
              </w:rPr>
              <w:fldChar w:fldCharType="end"/>
            </w:r>
          </w:hyperlink>
        </w:p>
        <w:p w14:paraId="1D2A55FA" w14:textId="67BBEFD2" w:rsidR="002060A4" w:rsidRDefault="002060A4">
          <w:pPr>
            <w:pStyle w:val="TOC3"/>
            <w:tabs>
              <w:tab w:val="right" w:leader="dot" w:pos="9350"/>
            </w:tabs>
            <w:rPr>
              <w:rFonts w:asciiTheme="minorHAnsi" w:eastAsiaTheme="minorEastAsia" w:hAnsiTheme="minorHAnsi" w:cstheme="minorBidi"/>
              <w:noProof/>
              <w:color w:val="auto"/>
              <w:sz w:val="24"/>
              <w:szCs w:val="24"/>
            </w:rPr>
          </w:pPr>
          <w:hyperlink w:anchor="_Toc103764060" w:history="1">
            <w:r w:rsidRPr="002F2E2C">
              <w:rPr>
                <w:rStyle w:val="Hyperlink"/>
                <w:noProof/>
                <w:lang w:val="pt-BR"/>
              </w:rPr>
              <w:t>Tabela 2. Pontuações de avaliação para cada componente de prontidão</w:t>
            </w:r>
            <w:r>
              <w:rPr>
                <w:noProof/>
                <w:webHidden/>
              </w:rPr>
              <w:tab/>
            </w:r>
            <w:r>
              <w:rPr>
                <w:noProof/>
                <w:webHidden/>
              </w:rPr>
              <w:fldChar w:fldCharType="begin"/>
            </w:r>
            <w:r>
              <w:rPr>
                <w:noProof/>
                <w:webHidden/>
              </w:rPr>
              <w:instrText xml:space="preserve"> PAGEREF _Toc103764060 \h </w:instrText>
            </w:r>
            <w:r>
              <w:rPr>
                <w:noProof/>
                <w:webHidden/>
              </w:rPr>
            </w:r>
            <w:r>
              <w:rPr>
                <w:noProof/>
                <w:webHidden/>
              </w:rPr>
              <w:fldChar w:fldCharType="separate"/>
            </w:r>
            <w:r>
              <w:rPr>
                <w:noProof/>
                <w:webHidden/>
              </w:rPr>
              <w:t>8</w:t>
            </w:r>
            <w:r>
              <w:rPr>
                <w:noProof/>
                <w:webHidden/>
              </w:rPr>
              <w:fldChar w:fldCharType="end"/>
            </w:r>
          </w:hyperlink>
        </w:p>
        <w:p w14:paraId="7C311868" w14:textId="3DC7F2D7" w:rsidR="002060A4" w:rsidRDefault="002060A4">
          <w:pPr>
            <w:pStyle w:val="TOC3"/>
            <w:tabs>
              <w:tab w:val="right" w:leader="dot" w:pos="9350"/>
            </w:tabs>
            <w:rPr>
              <w:rFonts w:asciiTheme="minorHAnsi" w:eastAsiaTheme="minorEastAsia" w:hAnsiTheme="minorHAnsi" w:cstheme="minorBidi"/>
              <w:noProof/>
              <w:color w:val="auto"/>
              <w:sz w:val="24"/>
              <w:szCs w:val="24"/>
            </w:rPr>
          </w:pPr>
          <w:hyperlink w:anchor="_Toc103764061" w:history="1">
            <w:r w:rsidRPr="002F2E2C">
              <w:rPr>
                <w:rStyle w:val="Hyperlink"/>
                <w:noProof/>
                <w:lang w:val="pt-BR"/>
              </w:rPr>
              <w:t>Tabela 3. Status geral de prontidão</w:t>
            </w:r>
            <w:r>
              <w:rPr>
                <w:noProof/>
                <w:webHidden/>
              </w:rPr>
              <w:tab/>
            </w:r>
            <w:r>
              <w:rPr>
                <w:noProof/>
                <w:webHidden/>
              </w:rPr>
              <w:fldChar w:fldCharType="begin"/>
            </w:r>
            <w:r>
              <w:rPr>
                <w:noProof/>
                <w:webHidden/>
              </w:rPr>
              <w:instrText xml:space="preserve"> PAGEREF _Toc103764061 \h </w:instrText>
            </w:r>
            <w:r>
              <w:rPr>
                <w:noProof/>
                <w:webHidden/>
              </w:rPr>
            </w:r>
            <w:r>
              <w:rPr>
                <w:noProof/>
                <w:webHidden/>
              </w:rPr>
              <w:fldChar w:fldCharType="separate"/>
            </w:r>
            <w:r>
              <w:rPr>
                <w:noProof/>
                <w:webHidden/>
              </w:rPr>
              <w:t>8</w:t>
            </w:r>
            <w:r>
              <w:rPr>
                <w:noProof/>
                <w:webHidden/>
              </w:rPr>
              <w:fldChar w:fldCharType="end"/>
            </w:r>
          </w:hyperlink>
        </w:p>
        <w:p w14:paraId="02823DA7" w14:textId="38272072" w:rsidR="002060A4" w:rsidRDefault="002060A4">
          <w:pPr>
            <w:pStyle w:val="TOC1"/>
            <w:rPr>
              <w:rFonts w:asciiTheme="minorHAnsi" w:eastAsiaTheme="minorEastAsia" w:hAnsiTheme="minorHAnsi" w:cstheme="minorBidi"/>
              <w:b w:val="0"/>
              <w:bCs w:val="0"/>
              <w:color w:val="auto"/>
              <w:sz w:val="24"/>
              <w:szCs w:val="24"/>
            </w:rPr>
          </w:pPr>
          <w:hyperlink w:anchor="_Toc103764062" w:history="1">
            <w:r w:rsidRPr="002F2E2C">
              <w:rPr>
                <w:rStyle w:val="Hyperlink"/>
                <w:lang w:val="pt-BR"/>
              </w:rPr>
              <w:t>Resultados</w:t>
            </w:r>
            <w:r>
              <w:rPr>
                <w:webHidden/>
              </w:rPr>
              <w:tab/>
            </w:r>
            <w:r>
              <w:rPr>
                <w:webHidden/>
              </w:rPr>
              <w:fldChar w:fldCharType="begin"/>
            </w:r>
            <w:r>
              <w:rPr>
                <w:webHidden/>
              </w:rPr>
              <w:instrText xml:space="preserve"> PAGEREF _Toc103764062 \h </w:instrText>
            </w:r>
            <w:r>
              <w:rPr>
                <w:webHidden/>
              </w:rPr>
            </w:r>
            <w:r>
              <w:rPr>
                <w:webHidden/>
              </w:rPr>
              <w:fldChar w:fldCharType="separate"/>
            </w:r>
            <w:r>
              <w:rPr>
                <w:webHidden/>
              </w:rPr>
              <w:t>9</w:t>
            </w:r>
            <w:r>
              <w:rPr>
                <w:webHidden/>
              </w:rPr>
              <w:fldChar w:fldCharType="end"/>
            </w:r>
          </w:hyperlink>
        </w:p>
        <w:p w14:paraId="5983EA7C" w14:textId="43BB6587" w:rsidR="002060A4" w:rsidRDefault="002060A4">
          <w:pPr>
            <w:pStyle w:val="TOC3"/>
            <w:tabs>
              <w:tab w:val="right" w:leader="dot" w:pos="9350"/>
            </w:tabs>
            <w:rPr>
              <w:rFonts w:asciiTheme="minorHAnsi" w:eastAsiaTheme="minorEastAsia" w:hAnsiTheme="minorHAnsi" w:cstheme="minorBidi"/>
              <w:noProof/>
              <w:color w:val="auto"/>
              <w:sz w:val="24"/>
              <w:szCs w:val="24"/>
            </w:rPr>
          </w:pPr>
          <w:hyperlink w:anchor="_Toc103764063" w:history="1">
            <w:r w:rsidRPr="002F2E2C">
              <w:rPr>
                <w:rStyle w:val="Hyperlink"/>
                <w:noProof/>
                <w:lang w:val="pt-BR"/>
              </w:rPr>
              <w:t>Tabela 4. Avaliações da Estrutura de Oportunidades de 2021 para 20 Países com Membros do GATC</w:t>
            </w:r>
            <w:r>
              <w:rPr>
                <w:noProof/>
                <w:webHidden/>
              </w:rPr>
              <w:tab/>
            </w:r>
            <w:r>
              <w:rPr>
                <w:noProof/>
                <w:webHidden/>
              </w:rPr>
              <w:fldChar w:fldCharType="begin"/>
            </w:r>
            <w:r>
              <w:rPr>
                <w:noProof/>
                <w:webHidden/>
              </w:rPr>
              <w:instrText xml:space="preserve"> PAGEREF _Toc103764063 \h </w:instrText>
            </w:r>
            <w:r>
              <w:rPr>
                <w:noProof/>
                <w:webHidden/>
              </w:rPr>
            </w:r>
            <w:r>
              <w:rPr>
                <w:noProof/>
                <w:webHidden/>
              </w:rPr>
              <w:fldChar w:fldCharType="separate"/>
            </w:r>
            <w:r>
              <w:rPr>
                <w:noProof/>
                <w:webHidden/>
              </w:rPr>
              <w:t>9</w:t>
            </w:r>
            <w:r>
              <w:rPr>
                <w:noProof/>
                <w:webHidden/>
              </w:rPr>
              <w:fldChar w:fldCharType="end"/>
            </w:r>
          </w:hyperlink>
        </w:p>
        <w:p w14:paraId="7C88117F" w14:textId="347E7884" w:rsidR="002060A4" w:rsidRDefault="002060A4" w:rsidP="002060A4">
          <w:pPr>
            <w:pStyle w:val="TOC1"/>
            <w:rPr>
              <w:rFonts w:asciiTheme="minorHAnsi" w:eastAsiaTheme="minorEastAsia" w:hAnsiTheme="minorHAnsi" w:cstheme="minorBidi"/>
              <w:color w:val="auto"/>
              <w:sz w:val="24"/>
              <w:szCs w:val="24"/>
            </w:rPr>
          </w:pPr>
          <w:hyperlink w:anchor="_Toc103764064" w:history="1">
            <w:r w:rsidRPr="002F2E2C">
              <w:rPr>
                <w:rStyle w:val="Hyperlink"/>
                <w:lang w:val="pt-BR"/>
              </w:rPr>
              <w:t>Próximos passos</w:t>
            </w:r>
            <w:r>
              <w:rPr>
                <w:webHidden/>
              </w:rPr>
              <w:tab/>
            </w:r>
            <w:r>
              <w:rPr>
                <w:webHidden/>
              </w:rPr>
              <w:fldChar w:fldCharType="begin"/>
            </w:r>
            <w:r>
              <w:rPr>
                <w:webHidden/>
              </w:rPr>
              <w:instrText xml:space="preserve"> PAGEREF _Toc103764064 \h </w:instrText>
            </w:r>
            <w:r>
              <w:rPr>
                <w:webHidden/>
              </w:rPr>
            </w:r>
            <w:r>
              <w:rPr>
                <w:webHidden/>
              </w:rPr>
              <w:fldChar w:fldCharType="separate"/>
            </w:r>
            <w:r>
              <w:rPr>
                <w:webHidden/>
              </w:rPr>
              <w:t>10</w:t>
            </w:r>
            <w:r>
              <w:rPr>
                <w:webHidden/>
              </w:rPr>
              <w:fldChar w:fldCharType="end"/>
            </w:r>
          </w:hyperlink>
        </w:p>
        <w:p w14:paraId="7FE012D4" w14:textId="63894B04" w:rsidR="00B352BD" w:rsidRPr="00DA002E" w:rsidRDefault="00B352BD">
          <w:r w:rsidRPr="001D00F8">
            <w:rPr>
              <w:noProof/>
            </w:rPr>
            <w:fldChar w:fldCharType="end"/>
          </w:r>
        </w:p>
      </w:sdtContent>
    </w:sdt>
    <w:p w14:paraId="523F440E" w14:textId="77777777" w:rsidR="00B352BD" w:rsidRDefault="00B352BD" w:rsidP="005919EE">
      <w:pPr>
        <w:pStyle w:val="Heading1"/>
      </w:pPr>
    </w:p>
    <w:p w14:paraId="60229C6F" w14:textId="1C098AB1" w:rsidR="007507FD" w:rsidRPr="00DA002E" w:rsidRDefault="007513DD" w:rsidP="00DA002E">
      <w:pPr>
        <w:pStyle w:val="Heading1"/>
      </w:pPr>
      <w:r>
        <w:br w:type="page"/>
      </w:r>
      <w:bookmarkStart w:id="2" w:name="_Toc103764056"/>
      <w:proofErr w:type="spellStart"/>
      <w:r w:rsidR="00603DA5" w:rsidRPr="00DA002E">
        <w:lastRenderedPageBreak/>
        <w:t>A</w:t>
      </w:r>
      <w:r w:rsidR="007E6CCC">
        <w:t>gradecimento</w:t>
      </w:r>
      <w:r w:rsidR="00603DA5" w:rsidRPr="00DA002E">
        <w:t>s</w:t>
      </w:r>
      <w:bookmarkEnd w:id="2"/>
      <w:proofErr w:type="spellEnd"/>
    </w:p>
    <w:p w14:paraId="20C9B2FF" w14:textId="77777777" w:rsidR="007E6CCC" w:rsidRPr="00A77962" w:rsidRDefault="007E6CCC" w:rsidP="007E6CCC">
      <w:pPr>
        <w:jc w:val="both"/>
        <w:rPr>
          <w:lang w:val="pt-BR"/>
        </w:rPr>
      </w:pPr>
      <w:r w:rsidRPr="00A77962">
        <w:rPr>
          <w:lang w:val="pt-BR"/>
        </w:rPr>
        <w:t xml:space="preserve">Os seguintes especialistas contribuíram com seu tempo, energia e análises para apoiar as avaliações da Estrutura de Oportunidades realizadas em 2020 e/ou 2021: Alejandro </w:t>
      </w:r>
      <w:proofErr w:type="spellStart"/>
      <w:r w:rsidRPr="00A77962">
        <w:rPr>
          <w:lang w:val="pt-BR"/>
        </w:rPr>
        <w:t>Bonilla</w:t>
      </w:r>
      <w:proofErr w:type="spellEnd"/>
      <w:r w:rsidRPr="00A77962">
        <w:rPr>
          <w:lang w:val="pt-BR"/>
        </w:rPr>
        <w:t xml:space="preserve">, Ana Clara Simões, Andrew Davis, </w:t>
      </w:r>
      <w:proofErr w:type="spellStart"/>
      <w:r w:rsidRPr="00A77962">
        <w:rPr>
          <w:lang w:val="pt-BR"/>
        </w:rPr>
        <w:t>Annas</w:t>
      </w:r>
      <w:proofErr w:type="spellEnd"/>
      <w:r w:rsidRPr="00A77962">
        <w:rPr>
          <w:lang w:val="pt-BR"/>
        </w:rPr>
        <w:t xml:space="preserve"> </w:t>
      </w:r>
      <w:proofErr w:type="spellStart"/>
      <w:r w:rsidRPr="00A77962">
        <w:rPr>
          <w:lang w:val="pt-BR"/>
        </w:rPr>
        <w:t>Radin</w:t>
      </w:r>
      <w:proofErr w:type="spellEnd"/>
      <w:r w:rsidRPr="00A77962">
        <w:rPr>
          <w:lang w:val="pt-BR"/>
        </w:rPr>
        <w:t xml:space="preserve"> </w:t>
      </w:r>
      <w:proofErr w:type="spellStart"/>
      <w:r w:rsidRPr="00A77962">
        <w:rPr>
          <w:lang w:val="pt-BR"/>
        </w:rPr>
        <w:t>Syarif</w:t>
      </w:r>
      <w:proofErr w:type="spellEnd"/>
      <w:r w:rsidRPr="00A77962">
        <w:rPr>
          <w:lang w:val="pt-BR"/>
        </w:rPr>
        <w:t xml:space="preserve">, Astolfo </w:t>
      </w:r>
      <w:proofErr w:type="spellStart"/>
      <w:r w:rsidRPr="00A77962">
        <w:rPr>
          <w:lang w:val="pt-BR"/>
        </w:rPr>
        <w:t>Aramburo</w:t>
      </w:r>
      <w:proofErr w:type="spellEnd"/>
      <w:r w:rsidRPr="00A77962">
        <w:rPr>
          <w:lang w:val="pt-BR"/>
        </w:rPr>
        <w:t xml:space="preserve">, Camilo Nino, Cameron Ellis, Carolina Gil Sánchez, </w:t>
      </w:r>
      <w:proofErr w:type="spellStart"/>
      <w:r w:rsidRPr="00A77962">
        <w:rPr>
          <w:lang w:val="pt-BR"/>
        </w:rPr>
        <w:t>Christen</w:t>
      </w:r>
      <w:proofErr w:type="spellEnd"/>
      <w:r w:rsidRPr="00A77962">
        <w:rPr>
          <w:lang w:val="pt-BR"/>
        </w:rPr>
        <w:t xml:space="preserve"> </w:t>
      </w:r>
      <w:proofErr w:type="spellStart"/>
      <w:r w:rsidRPr="00A77962">
        <w:rPr>
          <w:lang w:val="pt-BR"/>
        </w:rPr>
        <w:t>Corcoran</w:t>
      </w:r>
      <w:proofErr w:type="spellEnd"/>
      <w:r w:rsidRPr="00A77962">
        <w:rPr>
          <w:lang w:val="pt-BR"/>
        </w:rPr>
        <w:t xml:space="preserve">, </w:t>
      </w:r>
      <w:proofErr w:type="spellStart"/>
      <w:r w:rsidRPr="00A77962">
        <w:rPr>
          <w:lang w:val="pt-BR"/>
        </w:rPr>
        <w:t>Claudette</w:t>
      </w:r>
      <w:proofErr w:type="spellEnd"/>
      <w:r w:rsidRPr="00A77962">
        <w:rPr>
          <w:lang w:val="pt-BR"/>
        </w:rPr>
        <w:t xml:space="preserve"> </w:t>
      </w:r>
      <w:proofErr w:type="spellStart"/>
      <w:r w:rsidRPr="00A77962">
        <w:rPr>
          <w:lang w:val="pt-BR"/>
        </w:rPr>
        <w:t>Labonte</w:t>
      </w:r>
      <w:proofErr w:type="spellEnd"/>
      <w:r w:rsidRPr="00A77962">
        <w:rPr>
          <w:lang w:val="pt-BR"/>
        </w:rPr>
        <w:t xml:space="preserve">, Damien Davy, David </w:t>
      </w:r>
      <w:proofErr w:type="spellStart"/>
      <w:r w:rsidRPr="00A77962">
        <w:rPr>
          <w:lang w:val="pt-BR"/>
        </w:rPr>
        <w:t>Bray</w:t>
      </w:r>
      <w:proofErr w:type="spellEnd"/>
      <w:r w:rsidRPr="00A77962">
        <w:rPr>
          <w:lang w:val="pt-BR"/>
        </w:rPr>
        <w:t xml:space="preserve">, Erasmus </w:t>
      </w:r>
      <w:proofErr w:type="spellStart"/>
      <w:r w:rsidRPr="00A77962">
        <w:rPr>
          <w:lang w:val="pt-BR"/>
        </w:rPr>
        <w:t>Cahyadi</w:t>
      </w:r>
      <w:proofErr w:type="spellEnd"/>
      <w:r w:rsidRPr="00A77962">
        <w:rPr>
          <w:lang w:val="pt-BR"/>
        </w:rPr>
        <w:t xml:space="preserve">, Eric </w:t>
      </w:r>
      <w:proofErr w:type="spellStart"/>
      <w:r w:rsidRPr="00A77962">
        <w:rPr>
          <w:lang w:val="pt-BR"/>
        </w:rPr>
        <w:t>Guillen</w:t>
      </w:r>
      <w:proofErr w:type="spellEnd"/>
      <w:r w:rsidRPr="00A77962">
        <w:rPr>
          <w:lang w:val="pt-BR"/>
        </w:rPr>
        <w:t xml:space="preserve">, </w:t>
      </w:r>
      <w:proofErr w:type="spellStart"/>
      <w:r w:rsidRPr="00A77962">
        <w:rPr>
          <w:lang w:val="pt-BR"/>
        </w:rPr>
        <w:t>Farid</w:t>
      </w:r>
      <w:proofErr w:type="spellEnd"/>
      <w:r w:rsidRPr="00A77962">
        <w:rPr>
          <w:lang w:val="pt-BR"/>
        </w:rPr>
        <w:t xml:space="preserve"> W, Fernanda Almeida, Franck </w:t>
      </w:r>
      <w:proofErr w:type="spellStart"/>
      <w:r w:rsidRPr="00A77962">
        <w:rPr>
          <w:lang w:val="pt-BR"/>
        </w:rPr>
        <w:t>Ndjimbi</w:t>
      </w:r>
      <w:proofErr w:type="spellEnd"/>
      <w:r w:rsidRPr="00A77962">
        <w:rPr>
          <w:lang w:val="pt-BR"/>
        </w:rPr>
        <w:t xml:space="preserve">, Heraclio Herrera, </w:t>
      </w:r>
      <w:proofErr w:type="spellStart"/>
      <w:r w:rsidRPr="00A77962">
        <w:rPr>
          <w:lang w:val="pt-BR"/>
        </w:rPr>
        <w:t>Illiana</w:t>
      </w:r>
      <w:proofErr w:type="spellEnd"/>
      <w:r w:rsidRPr="00A77962">
        <w:rPr>
          <w:lang w:val="pt-BR"/>
        </w:rPr>
        <w:t xml:space="preserve"> </w:t>
      </w:r>
      <w:proofErr w:type="spellStart"/>
      <w:r w:rsidRPr="00A77962">
        <w:rPr>
          <w:lang w:val="pt-BR"/>
        </w:rPr>
        <w:t>Monterroso</w:t>
      </w:r>
      <w:proofErr w:type="spellEnd"/>
      <w:r w:rsidRPr="00A77962">
        <w:rPr>
          <w:lang w:val="pt-BR"/>
        </w:rPr>
        <w:t xml:space="preserve">, Isabel Picelli, Jean Jacques </w:t>
      </w:r>
      <w:proofErr w:type="spellStart"/>
      <w:r w:rsidRPr="00A77962">
        <w:rPr>
          <w:lang w:val="pt-BR"/>
        </w:rPr>
        <w:t>Mathamale</w:t>
      </w:r>
      <w:proofErr w:type="spellEnd"/>
      <w:r w:rsidRPr="00A77962">
        <w:rPr>
          <w:lang w:val="pt-BR"/>
        </w:rPr>
        <w:t xml:space="preserve">, Jim </w:t>
      </w:r>
      <w:proofErr w:type="spellStart"/>
      <w:r w:rsidRPr="00A77962">
        <w:rPr>
          <w:lang w:val="pt-BR"/>
        </w:rPr>
        <w:t>Smyle</w:t>
      </w:r>
      <w:proofErr w:type="spellEnd"/>
      <w:r w:rsidRPr="00A77962">
        <w:rPr>
          <w:lang w:val="pt-BR"/>
        </w:rPr>
        <w:t xml:space="preserve">, </w:t>
      </w:r>
      <w:proofErr w:type="spellStart"/>
      <w:r w:rsidRPr="00A77962">
        <w:rPr>
          <w:lang w:val="pt-BR"/>
        </w:rPr>
        <w:t>Johana</w:t>
      </w:r>
      <w:proofErr w:type="spellEnd"/>
      <w:r w:rsidRPr="00A77962">
        <w:rPr>
          <w:lang w:val="pt-BR"/>
        </w:rPr>
        <w:t xml:space="preserve"> Herrera, José </w:t>
      </w:r>
      <w:proofErr w:type="spellStart"/>
      <w:r w:rsidRPr="00A77962">
        <w:rPr>
          <w:lang w:val="pt-BR"/>
        </w:rPr>
        <w:t>Heder</w:t>
      </w:r>
      <w:proofErr w:type="spellEnd"/>
      <w:r w:rsidRPr="00A77962">
        <w:rPr>
          <w:lang w:val="pt-BR"/>
        </w:rPr>
        <w:t xml:space="preserve"> </w:t>
      </w:r>
      <w:proofErr w:type="spellStart"/>
      <w:r w:rsidRPr="00A77962">
        <w:rPr>
          <w:lang w:val="pt-BR"/>
        </w:rPr>
        <w:t>Benatti</w:t>
      </w:r>
      <w:proofErr w:type="spellEnd"/>
      <w:r w:rsidRPr="00A77962">
        <w:rPr>
          <w:lang w:val="pt-BR"/>
        </w:rPr>
        <w:t xml:space="preserve">, Juan Carlos </w:t>
      </w:r>
      <w:proofErr w:type="spellStart"/>
      <w:r w:rsidRPr="00A77962">
        <w:rPr>
          <w:lang w:val="pt-BR"/>
        </w:rPr>
        <w:t>Jintiach</w:t>
      </w:r>
      <w:proofErr w:type="spellEnd"/>
      <w:r w:rsidRPr="00A77962">
        <w:rPr>
          <w:lang w:val="pt-BR"/>
        </w:rPr>
        <w:t xml:space="preserve">, Laureano </w:t>
      </w:r>
      <w:proofErr w:type="spellStart"/>
      <w:r w:rsidRPr="00A77962">
        <w:rPr>
          <w:lang w:val="pt-BR"/>
        </w:rPr>
        <w:t>del</w:t>
      </w:r>
      <w:proofErr w:type="spellEnd"/>
      <w:r w:rsidRPr="00A77962">
        <w:rPr>
          <w:lang w:val="pt-BR"/>
        </w:rPr>
        <w:t xml:space="preserve"> Castillo Pinto, Levi Sucre Romero, Liz </w:t>
      </w:r>
      <w:proofErr w:type="spellStart"/>
      <w:r w:rsidRPr="00A77962">
        <w:rPr>
          <w:lang w:val="pt-BR"/>
        </w:rPr>
        <w:t>Alden</w:t>
      </w:r>
      <w:proofErr w:type="spellEnd"/>
      <w:r w:rsidRPr="00A77962">
        <w:rPr>
          <w:lang w:val="pt-BR"/>
        </w:rPr>
        <w:t xml:space="preserve"> </w:t>
      </w:r>
      <w:proofErr w:type="spellStart"/>
      <w:r w:rsidRPr="00A77962">
        <w:rPr>
          <w:lang w:val="pt-BR"/>
        </w:rPr>
        <w:t>Wily</w:t>
      </w:r>
      <w:proofErr w:type="spellEnd"/>
      <w:r w:rsidRPr="00A77962">
        <w:rPr>
          <w:lang w:val="pt-BR"/>
        </w:rPr>
        <w:t xml:space="preserve">, Logan Sander, Malcolm </w:t>
      </w:r>
      <w:proofErr w:type="spellStart"/>
      <w:r w:rsidRPr="00A77962">
        <w:rPr>
          <w:lang w:val="pt-BR"/>
        </w:rPr>
        <w:t>Childress</w:t>
      </w:r>
      <w:proofErr w:type="spellEnd"/>
      <w:r w:rsidRPr="00A77962">
        <w:rPr>
          <w:lang w:val="pt-BR"/>
        </w:rPr>
        <w:t xml:space="preserve">, Margarita Flores, Max </w:t>
      </w:r>
      <w:proofErr w:type="spellStart"/>
      <w:r w:rsidRPr="00A77962">
        <w:rPr>
          <w:lang w:val="pt-BR"/>
        </w:rPr>
        <w:t>Ooft</w:t>
      </w:r>
      <w:proofErr w:type="spellEnd"/>
      <w:r w:rsidRPr="00A77962">
        <w:rPr>
          <w:lang w:val="pt-BR"/>
        </w:rPr>
        <w:t xml:space="preserve">, </w:t>
      </w:r>
      <w:proofErr w:type="spellStart"/>
      <w:r w:rsidRPr="00A77962">
        <w:rPr>
          <w:lang w:val="pt-BR"/>
        </w:rPr>
        <w:t>Minu</w:t>
      </w:r>
      <w:proofErr w:type="spellEnd"/>
      <w:r w:rsidRPr="00A77962">
        <w:rPr>
          <w:lang w:val="pt-BR"/>
        </w:rPr>
        <w:t xml:space="preserve"> </w:t>
      </w:r>
      <w:proofErr w:type="spellStart"/>
      <w:r w:rsidRPr="00A77962">
        <w:rPr>
          <w:lang w:val="pt-BR"/>
        </w:rPr>
        <w:t>Parahoe</w:t>
      </w:r>
      <w:proofErr w:type="spellEnd"/>
      <w:r w:rsidRPr="00A77962">
        <w:rPr>
          <w:lang w:val="pt-BR"/>
        </w:rPr>
        <w:t xml:space="preserve">, Monica </w:t>
      </w:r>
      <w:proofErr w:type="spellStart"/>
      <w:r w:rsidRPr="00A77962">
        <w:rPr>
          <w:lang w:val="pt-BR"/>
        </w:rPr>
        <w:t>Kristiani</w:t>
      </w:r>
      <w:proofErr w:type="spellEnd"/>
      <w:r w:rsidRPr="00A77962">
        <w:rPr>
          <w:lang w:val="pt-BR"/>
        </w:rPr>
        <w:t xml:space="preserve"> </w:t>
      </w:r>
      <w:proofErr w:type="spellStart"/>
      <w:r w:rsidRPr="00A77962">
        <w:rPr>
          <w:lang w:val="pt-BR"/>
        </w:rPr>
        <w:t>Ndoen</w:t>
      </w:r>
      <w:proofErr w:type="spellEnd"/>
      <w:r w:rsidRPr="00A77962">
        <w:rPr>
          <w:lang w:val="pt-BR"/>
        </w:rPr>
        <w:t xml:space="preserve">, Peter </w:t>
      </w:r>
      <w:proofErr w:type="spellStart"/>
      <w:r w:rsidRPr="00A77962">
        <w:rPr>
          <w:lang w:val="pt-BR"/>
        </w:rPr>
        <w:t>Cronkleton</w:t>
      </w:r>
      <w:proofErr w:type="spellEnd"/>
      <w:r w:rsidRPr="00A77962">
        <w:rPr>
          <w:lang w:val="pt-BR"/>
        </w:rPr>
        <w:t xml:space="preserve">, Sa </w:t>
      </w:r>
      <w:proofErr w:type="spellStart"/>
      <w:r w:rsidRPr="00A77962">
        <w:rPr>
          <w:lang w:val="pt-BR"/>
        </w:rPr>
        <w:t>Majesté</w:t>
      </w:r>
      <w:proofErr w:type="spellEnd"/>
      <w:r w:rsidRPr="00A77962">
        <w:rPr>
          <w:lang w:val="pt-BR"/>
        </w:rPr>
        <w:t xml:space="preserve"> Bruno </w:t>
      </w:r>
      <w:proofErr w:type="spellStart"/>
      <w:r w:rsidRPr="00A77962">
        <w:rPr>
          <w:lang w:val="pt-BR"/>
        </w:rPr>
        <w:t>Mvondo</w:t>
      </w:r>
      <w:proofErr w:type="spellEnd"/>
      <w:r w:rsidRPr="00A77962">
        <w:rPr>
          <w:lang w:val="pt-BR"/>
        </w:rPr>
        <w:t xml:space="preserve">, Natalia Diaz, Samuel </w:t>
      </w:r>
      <w:proofErr w:type="spellStart"/>
      <w:r w:rsidRPr="00A77962">
        <w:rPr>
          <w:lang w:val="pt-BR"/>
        </w:rPr>
        <w:t>Dieval</w:t>
      </w:r>
      <w:proofErr w:type="spellEnd"/>
      <w:r w:rsidRPr="00A77962">
        <w:rPr>
          <w:lang w:val="pt-BR"/>
        </w:rPr>
        <w:t xml:space="preserve">, Silvana </w:t>
      </w:r>
      <w:proofErr w:type="spellStart"/>
      <w:r w:rsidRPr="00A77962">
        <w:rPr>
          <w:lang w:val="pt-BR"/>
        </w:rPr>
        <w:t>Baldovino</w:t>
      </w:r>
      <w:proofErr w:type="spellEnd"/>
      <w:r w:rsidRPr="00A77962">
        <w:rPr>
          <w:lang w:val="pt-BR"/>
        </w:rPr>
        <w:t xml:space="preserve"> </w:t>
      </w:r>
      <w:proofErr w:type="spellStart"/>
      <w:r w:rsidRPr="00A77962">
        <w:rPr>
          <w:lang w:val="pt-BR"/>
        </w:rPr>
        <w:t>Beas</w:t>
      </w:r>
      <w:proofErr w:type="spellEnd"/>
      <w:r w:rsidRPr="00A77962">
        <w:rPr>
          <w:lang w:val="pt-BR"/>
        </w:rPr>
        <w:t xml:space="preserve">, </w:t>
      </w:r>
      <w:proofErr w:type="spellStart"/>
      <w:r w:rsidRPr="00A77962">
        <w:rPr>
          <w:lang w:val="pt-BR"/>
        </w:rPr>
        <w:t>Silvel</w:t>
      </w:r>
      <w:proofErr w:type="spellEnd"/>
      <w:r w:rsidRPr="00A77962">
        <w:rPr>
          <w:lang w:val="pt-BR"/>
        </w:rPr>
        <w:t xml:space="preserve"> </w:t>
      </w:r>
      <w:proofErr w:type="spellStart"/>
      <w:r w:rsidRPr="00A77962">
        <w:rPr>
          <w:lang w:val="pt-BR"/>
        </w:rPr>
        <w:t>Elías</w:t>
      </w:r>
      <w:proofErr w:type="spellEnd"/>
      <w:r w:rsidRPr="00A77962">
        <w:rPr>
          <w:lang w:val="pt-BR"/>
        </w:rPr>
        <w:t xml:space="preserve">, e Vanda </w:t>
      </w:r>
      <w:proofErr w:type="spellStart"/>
      <w:r w:rsidRPr="00A77962">
        <w:rPr>
          <w:lang w:val="pt-BR"/>
        </w:rPr>
        <w:t>Radzick</w:t>
      </w:r>
      <w:proofErr w:type="spellEnd"/>
      <w:r w:rsidRPr="00A77962">
        <w:rPr>
          <w:lang w:val="pt-BR"/>
        </w:rPr>
        <w:t>.</w:t>
      </w:r>
    </w:p>
    <w:p w14:paraId="74E4B753" w14:textId="77777777" w:rsidR="007E6CCC" w:rsidRPr="00A77962" w:rsidRDefault="007E6CCC" w:rsidP="007E6CCC">
      <w:pPr>
        <w:jc w:val="both"/>
        <w:rPr>
          <w:lang w:val="pt-BR"/>
        </w:rPr>
      </w:pPr>
      <w:r w:rsidRPr="00A77962">
        <w:rPr>
          <w:lang w:val="pt-BR"/>
        </w:rPr>
        <w:t xml:space="preserve">Este documento, que se baseia na Estrutura de Oportunidades 2020, é o resultado de um esforço colaborativo apoiado pela equipe do </w:t>
      </w:r>
      <w:proofErr w:type="spellStart"/>
      <w:r w:rsidRPr="00A77962">
        <w:rPr>
          <w:lang w:val="pt-BR"/>
        </w:rPr>
        <w:t>Rights</w:t>
      </w:r>
      <w:proofErr w:type="spellEnd"/>
      <w:r w:rsidRPr="00A77962">
        <w:rPr>
          <w:lang w:val="pt-BR"/>
        </w:rPr>
        <w:t xml:space="preserve"> </w:t>
      </w:r>
      <w:proofErr w:type="spellStart"/>
      <w:r w:rsidRPr="00A77962">
        <w:rPr>
          <w:lang w:val="pt-BR"/>
        </w:rPr>
        <w:t>and</w:t>
      </w:r>
      <w:proofErr w:type="spellEnd"/>
      <w:r w:rsidRPr="00A77962">
        <w:rPr>
          <w:lang w:val="pt-BR"/>
        </w:rPr>
        <w:t xml:space="preserve"> </w:t>
      </w:r>
      <w:proofErr w:type="spellStart"/>
      <w:r w:rsidRPr="00A77962">
        <w:rPr>
          <w:lang w:val="pt-BR"/>
        </w:rPr>
        <w:t>Resources</w:t>
      </w:r>
      <w:proofErr w:type="spellEnd"/>
      <w:r w:rsidRPr="00A77962">
        <w:rPr>
          <w:lang w:val="pt-BR"/>
        </w:rPr>
        <w:t xml:space="preserve"> </w:t>
      </w:r>
      <w:proofErr w:type="spellStart"/>
      <w:r w:rsidRPr="00A77962">
        <w:rPr>
          <w:lang w:val="pt-BR"/>
        </w:rPr>
        <w:t>Group</w:t>
      </w:r>
      <w:proofErr w:type="spellEnd"/>
      <w:r w:rsidRPr="00A77962">
        <w:rPr>
          <w:lang w:val="pt-BR"/>
        </w:rPr>
        <w:t xml:space="preserve"> (RRG), incluindo Alain </w:t>
      </w:r>
      <w:proofErr w:type="spellStart"/>
      <w:r w:rsidRPr="00A77962">
        <w:rPr>
          <w:lang w:val="pt-BR"/>
        </w:rPr>
        <w:t>Frechette</w:t>
      </w:r>
      <w:proofErr w:type="spellEnd"/>
      <w:r w:rsidRPr="00A77962">
        <w:rPr>
          <w:lang w:val="pt-BR"/>
        </w:rPr>
        <w:t xml:space="preserve">, Chloe </w:t>
      </w:r>
      <w:proofErr w:type="spellStart"/>
      <w:r w:rsidRPr="00A77962">
        <w:rPr>
          <w:lang w:val="pt-BR"/>
        </w:rPr>
        <w:t>Ginsburg</w:t>
      </w:r>
      <w:proofErr w:type="spellEnd"/>
      <w:r w:rsidRPr="00A77962">
        <w:rPr>
          <w:lang w:val="pt-BR"/>
        </w:rPr>
        <w:t xml:space="preserve"> e David </w:t>
      </w:r>
      <w:proofErr w:type="spellStart"/>
      <w:r w:rsidRPr="00A77962">
        <w:rPr>
          <w:lang w:val="pt-BR"/>
        </w:rPr>
        <w:t>Kroeker</w:t>
      </w:r>
      <w:proofErr w:type="spellEnd"/>
      <w:r w:rsidRPr="00A77962">
        <w:rPr>
          <w:lang w:val="pt-BR"/>
        </w:rPr>
        <w:t xml:space="preserve">-Maus. </w:t>
      </w:r>
      <w:proofErr w:type="spellStart"/>
      <w:r w:rsidRPr="00A77962">
        <w:rPr>
          <w:lang w:val="pt-BR"/>
        </w:rPr>
        <w:t>Kundan</w:t>
      </w:r>
      <w:proofErr w:type="spellEnd"/>
      <w:r w:rsidRPr="00A77962">
        <w:rPr>
          <w:lang w:val="pt-BR"/>
        </w:rPr>
        <w:t xml:space="preserve"> Kumar, </w:t>
      </w:r>
      <w:proofErr w:type="spellStart"/>
      <w:r w:rsidRPr="00A77962">
        <w:rPr>
          <w:lang w:val="pt-BR"/>
        </w:rPr>
        <w:t>Omaira</w:t>
      </w:r>
      <w:proofErr w:type="spellEnd"/>
      <w:r w:rsidRPr="00A77962">
        <w:rPr>
          <w:lang w:val="pt-BR"/>
        </w:rPr>
        <w:t xml:space="preserve"> </w:t>
      </w:r>
      <w:proofErr w:type="spellStart"/>
      <w:r w:rsidRPr="00A77962">
        <w:rPr>
          <w:lang w:val="pt-BR"/>
        </w:rPr>
        <w:t>Bolaños</w:t>
      </w:r>
      <w:proofErr w:type="spellEnd"/>
      <w:r w:rsidRPr="00A77962">
        <w:rPr>
          <w:lang w:val="pt-BR"/>
        </w:rPr>
        <w:t xml:space="preserve"> e Patrick </w:t>
      </w:r>
      <w:proofErr w:type="spellStart"/>
      <w:r w:rsidRPr="00A77962">
        <w:rPr>
          <w:lang w:val="pt-BR"/>
        </w:rPr>
        <w:t>Kipalu</w:t>
      </w:r>
      <w:proofErr w:type="spellEnd"/>
      <w:r w:rsidRPr="00A77962">
        <w:rPr>
          <w:lang w:val="pt-BR"/>
        </w:rPr>
        <w:t xml:space="preserve"> forneceram percepções que informaram os métodos e avaliações de 2020 e 2021 para a Ásia, América Latina e África, respectivamente. </w:t>
      </w:r>
    </w:p>
    <w:p w14:paraId="4397AD43" w14:textId="0559F16E" w:rsidR="00772BE9" w:rsidRDefault="007E6CCC" w:rsidP="007E6CCC">
      <w:pPr>
        <w:jc w:val="both"/>
      </w:pPr>
      <w:r w:rsidRPr="00A77962">
        <w:rPr>
          <w:lang w:val="pt-BR"/>
        </w:rPr>
        <w:t xml:space="preserve">As consultas para este documento não teriam sido possíveis sem o apoio adicional, coordenação e percepções de </w:t>
      </w:r>
      <w:proofErr w:type="spellStart"/>
      <w:r w:rsidRPr="00A77962">
        <w:rPr>
          <w:lang w:val="pt-BR"/>
        </w:rPr>
        <w:t>Cécile</w:t>
      </w:r>
      <w:proofErr w:type="spellEnd"/>
      <w:r w:rsidRPr="00A77962">
        <w:rPr>
          <w:lang w:val="pt-BR"/>
        </w:rPr>
        <w:t xml:space="preserve"> Stone e Michel </w:t>
      </w:r>
      <w:proofErr w:type="spellStart"/>
      <w:r w:rsidRPr="00A77962">
        <w:rPr>
          <w:lang w:val="pt-BR"/>
        </w:rPr>
        <w:t>Laforge</w:t>
      </w:r>
      <w:proofErr w:type="spellEnd"/>
      <w:r w:rsidRPr="00A77962">
        <w:rPr>
          <w:lang w:val="pt-BR"/>
        </w:rPr>
        <w:t xml:space="preserve"> da Aliança Global de Comunidades Territoriais (GATC - para seu nome em inglês, </w:t>
      </w:r>
      <w:r>
        <w:rPr>
          <w:lang w:val="pt-BR"/>
        </w:rPr>
        <w:t>‘</w:t>
      </w:r>
      <w:r w:rsidRPr="00A77962">
        <w:rPr>
          <w:lang w:val="pt-BR"/>
        </w:rPr>
        <w:t xml:space="preserve">Global Alliance </w:t>
      </w:r>
      <w:proofErr w:type="spellStart"/>
      <w:r w:rsidRPr="00A77962">
        <w:rPr>
          <w:lang w:val="pt-BR"/>
        </w:rPr>
        <w:t>of</w:t>
      </w:r>
      <w:proofErr w:type="spellEnd"/>
      <w:r w:rsidRPr="00A77962">
        <w:rPr>
          <w:lang w:val="pt-BR"/>
        </w:rPr>
        <w:t xml:space="preserve"> Territorial </w:t>
      </w:r>
      <w:proofErr w:type="spellStart"/>
      <w:r w:rsidRPr="00A77962">
        <w:rPr>
          <w:lang w:val="pt-BR"/>
        </w:rPr>
        <w:t>Communities</w:t>
      </w:r>
      <w:proofErr w:type="spellEnd"/>
      <w:r>
        <w:rPr>
          <w:lang w:val="pt-BR"/>
        </w:rPr>
        <w:t>’</w:t>
      </w:r>
      <w:r w:rsidRPr="00A77962">
        <w:rPr>
          <w:lang w:val="pt-BR"/>
        </w:rPr>
        <w:t xml:space="preserve">), e suporte linguístico crítico de Eric </w:t>
      </w:r>
      <w:proofErr w:type="spellStart"/>
      <w:r w:rsidRPr="00A77962">
        <w:rPr>
          <w:lang w:val="pt-BR"/>
        </w:rPr>
        <w:t>Teller</w:t>
      </w:r>
      <w:proofErr w:type="spellEnd"/>
      <w:r w:rsidRPr="00A77962">
        <w:rPr>
          <w:lang w:val="pt-BR"/>
        </w:rPr>
        <w:t xml:space="preserve"> e Lorene Moran-</w:t>
      </w:r>
      <w:proofErr w:type="spellStart"/>
      <w:r w:rsidRPr="00A77962">
        <w:rPr>
          <w:lang w:val="pt-BR"/>
        </w:rPr>
        <w:t>Valenzuela</w:t>
      </w:r>
      <w:proofErr w:type="spellEnd"/>
      <w:r w:rsidRPr="00A77962">
        <w:rPr>
          <w:lang w:val="pt-BR"/>
        </w:rPr>
        <w:t xml:space="preserve"> do </w:t>
      </w:r>
      <w:proofErr w:type="spellStart"/>
      <w:r w:rsidRPr="00A77962">
        <w:rPr>
          <w:lang w:val="pt-BR"/>
        </w:rPr>
        <w:t>Rights</w:t>
      </w:r>
      <w:proofErr w:type="spellEnd"/>
      <w:r w:rsidRPr="00A77962">
        <w:rPr>
          <w:lang w:val="pt-BR"/>
        </w:rPr>
        <w:t xml:space="preserve"> </w:t>
      </w:r>
      <w:proofErr w:type="spellStart"/>
      <w:r w:rsidRPr="00A77962">
        <w:rPr>
          <w:lang w:val="pt-BR"/>
        </w:rPr>
        <w:t>and</w:t>
      </w:r>
      <w:proofErr w:type="spellEnd"/>
      <w:r w:rsidRPr="00A77962">
        <w:rPr>
          <w:lang w:val="pt-BR"/>
        </w:rPr>
        <w:t xml:space="preserve"> </w:t>
      </w:r>
      <w:proofErr w:type="spellStart"/>
      <w:r w:rsidRPr="00A77962">
        <w:rPr>
          <w:lang w:val="pt-BR"/>
        </w:rPr>
        <w:t>Resources</w:t>
      </w:r>
      <w:proofErr w:type="spellEnd"/>
      <w:r w:rsidRPr="00A77962">
        <w:rPr>
          <w:lang w:val="pt-BR"/>
        </w:rPr>
        <w:t xml:space="preserve"> </w:t>
      </w:r>
      <w:proofErr w:type="spellStart"/>
      <w:r w:rsidRPr="00A77962">
        <w:rPr>
          <w:lang w:val="pt-BR"/>
        </w:rPr>
        <w:t>Group</w:t>
      </w:r>
      <w:proofErr w:type="spellEnd"/>
      <w:r w:rsidRPr="00A77962">
        <w:rPr>
          <w:lang w:val="pt-BR"/>
        </w:rPr>
        <w:t>.</w:t>
      </w:r>
    </w:p>
    <w:p w14:paraId="1E827BA4" w14:textId="77777777" w:rsidR="00230436" w:rsidRPr="00772BE9" w:rsidRDefault="00230436" w:rsidP="00603DA5">
      <w:pPr>
        <w:jc w:val="both"/>
      </w:pPr>
    </w:p>
    <w:p w14:paraId="0C265668" w14:textId="77777777" w:rsidR="00326996" w:rsidRDefault="00326996">
      <w:pPr>
        <w:shd w:val="clear" w:color="auto" w:fill="auto"/>
        <w:spacing w:before="0" w:after="160" w:line="259" w:lineRule="auto"/>
        <w:rPr>
          <w:rFonts w:ascii="Open Sans Semibold" w:hAnsi="Open Sans Semibold" w:cs="Open Sans Semibold"/>
          <w:color w:val="49A146"/>
          <w:sz w:val="24"/>
        </w:rPr>
      </w:pPr>
      <w:r>
        <w:br w:type="page"/>
      </w:r>
    </w:p>
    <w:p w14:paraId="2CDEC9D8" w14:textId="7B06F86B" w:rsidR="00616716" w:rsidRPr="005919EE" w:rsidRDefault="00603DA5" w:rsidP="005919EE">
      <w:pPr>
        <w:pStyle w:val="Heading1"/>
      </w:pPr>
      <w:bookmarkStart w:id="3" w:name="_Toc103764057"/>
      <w:proofErr w:type="spellStart"/>
      <w:r>
        <w:lastRenderedPageBreak/>
        <w:t>Introdu</w:t>
      </w:r>
      <w:r w:rsidR="007E6CCC">
        <w:t>ção</w:t>
      </w:r>
      <w:bookmarkEnd w:id="3"/>
      <w:proofErr w:type="spellEnd"/>
    </w:p>
    <w:p w14:paraId="650D8159" w14:textId="77777777" w:rsidR="007E6CCC" w:rsidRPr="00A77962" w:rsidRDefault="007E6CCC" w:rsidP="007E6CCC">
      <w:pPr>
        <w:jc w:val="both"/>
        <w:rPr>
          <w:lang w:val="pt-BR"/>
        </w:rPr>
      </w:pPr>
      <w:r w:rsidRPr="00A77962">
        <w:rPr>
          <w:lang w:val="pt-BR"/>
        </w:rPr>
        <w:t xml:space="preserve">Este suplemento atualiza e expande a </w:t>
      </w:r>
      <w:hyperlink r:id="rId10" w:history="1">
        <w:r w:rsidRPr="00A77962">
          <w:rPr>
            <w:rStyle w:val="Hyperlink"/>
            <w:lang w:val="pt-BR"/>
          </w:rPr>
          <w:t>Estrutura de Oportunidades,</w:t>
        </w:r>
      </w:hyperlink>
      <w:r w:rsidRPr="00A77962">
        <w:rPr>
          <w:lang w:val="pt-BR"/>
        </w:rPr>
        <w:t xml:space="preserve"> que foi publicada pela Iniciativa de Direitos e Recursos (RRI) em 2020, para abranger países representados por membros da Aliança Global de Comunidades Territoriais. A GATC é uma coalizão de Povos Indígenas e comunidades locais de 24 países da Bacia Amazônica, Brasil, África Central, Indonésia e Mesoamérica. Destes países, 20 foram analisados ​​quanto à sua prontidão para avançar e implementar projetos de reforma de posse. </w:t>
      </w:r>
    </w:p>
    <w:p w14:paraId="52281DBB" w14:textId="77777777" w:rsidR="007E6CCC" w:rsidRPr="00A77962" w:rsidRDefault="007E6CCC" w:rsidP="007E6CCC">
      <w:pPr>
        <w:jc w:val="both"/>
        <w:rPr>
          <w:lang w:val="pt-BR"/>
        </w:rPr>
      </w:pPr>
      <w:r w:rsidRPr="00A77962">
        <w:rPr>
          <w:lang w:val="pt-BR"/>
        </w:rPr>
        <w:t xml:space="preserve">A Estrutura de Oportunidades identifica cinco condições essenciais que podem indicar a prontidão dos países para realizar reformas e projetos em escala que apoiem a segurança de posse das comunidades: </w:t>
      </w:r>
    </w:p>
    <w:p w14:paraId="68096613" w14:textId="77777777" w:rsidR="007E6CCC" w:rsidRPr="00A77962" w:rsidRDefault="007E6CCC" w:rsidP="007E6CCC">
      <w:pPr>
        <w:pStyle w:val="ListParagraph"/>
        <w:numPr>
          <w:ilvl w:val="0"/>
          <w:numId w:val="4"/>
        </w:numPr>
        <w:jc w:val="both"/>
        <w:rPr>
          <w:lang w:val="pt-BR"/>
        </w:rPr>
      </w:pPr>
      <w:r w:rsidRPr="00A77962">
        <w:rPr>
          <w:lang w:val="pt-BR"/>
        </w:rPr>
        <w:t xml:space="preserve">A adequação das </w:t>
      </w:r>
      <w:r w:rsidRPr="00A77962">
        <w:rPr>
          <w:b/>
          <w:bCs/>
          <w:lang w:val="pt-BR"/>
        </w:rPr>
        <w:t>estruturas jurídicas</w:t>
      </w:r>
      <w:r w:rsidRPr="00A77962">
        <w:rPr>
          <w:lang w:val="pt-BR"/>
        </w:rPr>
        <w:t xml:space="preserve"> nacionais que reconhecem os direitos de posse da floresta dos povos indígenas, povos afrodescendentes e das comunidades locais; </w:t>
      </w:r>
    </w:p>
    <w:p w14:paraId="4B9DCA42" w14:textId="77777777" w:rsidR="007E6CCC" w:rsidRPr="00A77962" w:rsidRDefault="007E6CCC" w:rsidP="007E6CCC">
      <w:pPr>
        <w:pStyle w:val="ListParagraph"/>
        <w:numPr>
          <w:ilvl w:val="0"/>
          <w:numId w:val="4"/>
        </w:numPr>
        <w:jc w:val="both"/>
        <w:rPr>
          <w:lang w:val="pt-BR"/>
        </w:rPr>
      </w:pPr>
      <w:r w:rsidRPr="00A77962">
        <w:rPr>
          <w:b/>
          <w:bCs/>
          <w:lang w:val="pt-BR"/>
        </w:rPr>
        <w:t>Disposição do governo nacional</w:t>
      </w:r>
      <w:r w:rsidRPr="00A77962">
        <w:rPr>
          <w:lang w:val="pt-BR"/>
        </w:rPr>
        <w:t xml:space="preserve"> para promover os direitos de posse com base na comunidade;</w:t>
      </w:r>
    </w:p>
    <w:p w14:paraId="7F651A44" w14:textId="77777777" w:rsidR="007E6CCC" w:rsidRPr="00A77962" w:rsidRDefault="007E6CCC" w:rsidP="007E6CCC">
      <w:pPr>
        <w:pStyle w:val="ListParagraph"/>
        <w:numPr>
          <w:ilvl w:val="0"/>
          <w:numId w:val="4"/>
        </w:numPr>
        <w:jc w:val="both"/>
        <w:rPr>
          <w:lang w:val="pt-BR"/>
        </w:rPr>
      </w:pPr>
      <w:r w:rsidRPr="00A77962">
        <w:rPr>
          <w:b/>
          <w:bCs/>
          <w:lang w:val="pt-BR"/>
        </w:rPr>
        <w:t>Disposição do governo subnacional</w:t>
      </w:r>
      <w:r w:rsidRPr="00A77962">
        <w:rPr>
          <w:lang w:val="pt-BR"/>
        </w:rPr>
        <w:t xml:space="preserve"> para promover os direitos de posse com base na comunidade, se aplicável; </w:t>
      </w:r>
    </w:p>
    <w:p w14:paraId="64ADB02A" w14:textId="77777777" w:rsidR="007E6CCC" w:rsidRPr="00A77962" w:rsidRDefault="007E6CCC" w:rsidP="007E6CCC">
      <w:pPr>
        <w:pStyle w:val="ListParagraph"/>
        <w:numPr>
          <w:ilvl w:val="0"/>
          <w:numId w:val="4"/>
        </w:numPr>
        <w:jc w:val="both"/>
        <w:rPr>
          <w:lang w:val="pt-BR"/>
        </w:rPr>
      </w:pPr>
      <w:r w:rsidRPr="00A77962">
        <w:rPr>
          <w:b/>
          <w:bCs/>
          <w:lang w:val="pt-BR"/>
        </w:rPr>
        <w:t>Capacidade do governo</w:t>
      </w:r>
      <w:r w:rsidRPr="00A77962">
        <w:rPr>
          <w:lang w:val="pt-BR"/>
        </w:rPr>
        <w:t xml:space="preserve"> para implementar leis e regulamentos relativos ao reconhecimento dos direitos de posse de base comunitária, tanto a nível nacional como subnacional; e</w:t>
      </w:r>
    </w:p>
    <w:p w14:paraId="764C390F" w14:textId="77777777" w:rsidR="007E6CCC" w:rsidRPr="00A77962" w:rsidRDefault="007E6CCC" w:rsidP="007E6CCC">
      <w:pPr>
        <w:pStyle w:val="ListParagraph"/>
        <w:numPr>
          <w:ilvl w:val="0"/>
          <w:numId w:val="4"/>
        </w:numPr>
        <w:jc w:val="both"/>
        <w:rPr>
          <w:lang w:val="pt-BR"/>
        </w:rPr>
      </w:pPr>
      <w:r w:rsidRPr="00A77962">
        <w:rPr>
          <w:b/>
          <w:bCs/>
          <w:lang w:val="pt-BR"/>
        </w:rPr>
        <w:t>Capacidade dos titulares de direitos e das organizações da sociedade civil</w:t>
      </w:r>
      <w:r w:rsidRPr="00A77962">
        <w:rPr>
          <w:lang w:val="pt-BR"/>
        </w:rPr>
        <w:t xml:space="preserve"> de apoiar a implementação de leis e regulamentos relativos ao reconhecimento dos direitos de posse de base comunitária nos níveis nacional e subnacional.</w:t>
      </w:r>
    </w:p>
    <w:p w14:paraId="6535F3AD" w14:textId="77777777" w:rsidR="007E6CCC" w:rsidRPr="00A77962" w:rsidRDefault="007E6CCC" w:rsidP="007E6CCC">
      <w:pPr>
        <w:jc w:val="both"/>
        <w:rPr>
          <w:lang w:val="pt-BR"/>
        </w:rPr>
      </w:pPr>
      <w:r w:rsidRPr="00A77962">
        <w:rPr>
          <w:lang w:val="pt-BR"/>
        </w:rPr>
        <w:t>A Estrutura fornece um instrumento oportuno para identificar os pontos fortes e fracos nos ambientes jurídicos, institucionais e políticos desses países. Ao identificar os obstáculos que impedem as reformas no nível do país, as partes interessadas podem identificar as áreas onde os recursos são mais necessários. Esses recursos podem então ser alocados para projetos e iniciativas que tenham o maior impacto sobre a posse da floresta de Povos Indígenas, Povos Afrodescendentes e comunidades locais.</w:t>
      </w:r>
    </w:p>
    <w:p w14:paraId="1EC7E33E" w14:textId="636FEBE9" w:rsidR="00230436" w:rsidRDefault="007E6CCC" w:rsidP="00603DA5">
      <w:pPr>
        <w:jc w:val="both"/>
      </w:pPr>
      <w:r w:rsidRPr="00A77962">
        <w:rPr>
          <w:lang w:val="pt-BR"/>
        </w:rPr>
        <w:t xml:space="preserve">A Estrutura de Oportunidades depende de uma variedade de fontes - consultas com especialistas técnicos e políticos que trabalham em cada país, dados existentes do Rastreamento de Posse da RRI e análises por Almeida </w:t>
      </w:r>
      <w:proofErr w:type="spellStart"/>
      <w:r w:rsidRPr="00A77962">
        <w:rPr>
          <w:lang w:val="pt-BR"/>
        </w:rPr>
        <w:t>Dohrn</w:t>
      </w:r>
      <w:proofErr w:type="spellEnd"/>
      <w:r w:rsidRPr="00A77962">
        <w:rPr>
          <w:lang w:val="pt-BR"/>
        </w:rPr>
        <w:t xml:space="preserve"> Consultoria, LTDA e Global Land Alliance - para avaliar o estado do acima mencionado. fatores para avançar e implementar reformas de posse coletiva. As avaliações das estruturas jurídicas nacionais para o reconhecimento dos direitos de posse coletiva de florestas são baseadas na presença de regimes de posse de base comunitária</w:t>
      </w:r>
      <w:r w:rsidRPr="00A77962">
        <w:rPr>
          <w:rStyle w:val="FootnoteReference"/>
          <w:lang w:val="pt-BR"/>
        </w:rPr>
        <w:footnoteReference w:id="1"/>
      </w:r>
      <w:r w:rsidRPr="00A77962">
        <w:rPr>
          <w:lang w:val="pt-BR"/>
        </w:rPr>
        <w:t xml:space="preserve">, classificados como </w:t>
      </w:r>
      <w:r w:rsidRPr="00A77962">
        <w:rPr>
          <w:i/>
          <w:iCs/>
          <w:lang w:val="pt-BR"/>
        </w:rPr>
        <w:t>designados</w:t>
      </w:r>
      <w:r w:rsidRPr="00A77962">
        <w:rPr>
          <w:lang w:val="pt-BR"/>
        </w:rPr>
        <w:t xml:space="preserve"> </w:t>
      </w:r>
      <w:r w:rsidRPr="00A77962">
        <w:rPr>
          <w:lang w:val="pt-BR"/>
        </w:rPr>
        <w:lastRenderedPageBreak/>
        <w:t xml:space="preserve">ou </w:t>
      </w:r>
      <w:r w:rsidRPr="00A77962">
        <w:rPr>
          <w:i/>
          <w:iCs/>
          <w:lang w:val="pt-BR"/>
        </w:rPr>
        <w:t>de propriedade</w:t>
      </w:r>
      <w:r w:rsidRPr="00A77962">
        <w:rPr>
          <w:lang w:val="pt-BR"/>
        </w:rPr>
        <w:t xml:space="preserve"> dessas comunidades de acordo com a Tipologia Estatutária do RRI</w:t>
      </w:r>
      <w:r w:rsidRPr="00A77962">
        <w:rPr>
          <w:rStyle w:val="FootnoteReference"/>
          <w:lang w:val="pt-BR"/>
        </w:rPr>
        <w:footnoteReference w:id="2"/>
      </w:r>
      <w:r w:rsidRPr="00A77962">
        <w:rPr>
          <w:lang w:val="pt-BR"/>
        </w:rPr>
        <w:t>. As avaliações da Disposição e Capacidade do Governo contam com a opinião de especialistas e análises externas.</w:t>
      </w:r>
    </w:p>
    <w:p w14:paraId="3F92EAF0" w14:textId="0E2A34C5" w:rsidR="009D1F38" w:rsidRPr="009D1F38" w:rsidRDefault="007E6CCC" w:rsidP="009D1F38">
      <w:pPr>
        <w:pStyle w:val="Heading1"/>
      </w:pPr>
      <w:bookmarkStart w:id="4" w:name="_Toc103764058"/>
      <w:r w:rsidRPr="00A77962">
        <w:rPr>
          <w:lang w:val="pt-BR"/>
        </w:rPr>
        <w:t>Metodologia atualizada para componentes de prontidão do Sistema de Pontuação da Estrutura de Oportunidades</w:t>
      </w:r>
      <w:bookmarkEnd w:id="4"/>
    </w:p>
    <w:p w14:paraId="41CA63C9" w14:textId="77777777" w:rsidR="007E6CCC" w:rsidRPr="00A77962" w:rsidRDefault="007E6CCC" w:rsidP="007E6CCC">
      <w:pPr>
        <w:jc w:val="both"/>
        <w:rPr>
          <w:lang w:val="pt-BR"/>
        </w:rPr>
      </w:pPr>
      <w:r w:rsidRPr="00A77962">
        <w:rPr>
          <w:lang w:val="pt-BR"/>
        </w:rPr>
        <w:t>Com base nas experiências e lições aprendidas com a análise da Estrutura de Oportunidades 2020, uma estrutura de avaliação padronizada foi desenvolvida para fornecer uma pontuação indicativa que reflete a situação dos fatores facilitadores. As categorias de Adequação Legal, Disposição do Governo e Capacidade estão sujeitas a avaliações “adequado”, “parcialmente adequado” ou “inadequado” de acordo com a metodologia descrita abaixo.</w:t>
      </w:r>
    </w:p>
    <w:p w14:paraId="35473A9C" w14:textId="710AF518" w:rsidR="00230436" w:rsidRPr="00BC7177" w:rsidRDefault="007E6CCC" w:rsidP="00BC7177">
      <w:pPr>
        <w:jc w:val="both"/>
      </w:pPr>
      <w:r w:rsidRPr="00A77962">
        <w:rPr>
          <w:lang w:val="pt-BR"/>
        </w:rPr>
        <w:t>Uma avaliação “adequado” indica que o limite mínimo delineado pela metodologia foi atendido. É importante ressaltar que a Estrutura não foi projetada para ser sensível ao gênero, nem inclui outros elementos que são cruciais para garantir a posse equitativa, eficaz e segura. Não implica, portanto, que as condições legais, institucionais, políticas ou financeiras dentro do país sejam ótimas, ou que haja conformidade total e abrangente com ou implementação de todas as leis, políticas, metas ou outras obrigações nacionais ou internacionais compromissos não vinculativos.</w:t>
      </w:r>
    </w:p>
    <w:p w14:paraId="52DA71ED" w14:textId="08B8AF64" w:rsidR="00275ED9" w:rsidRPr="00997E72" w:rsidRDefault="00BC7177" w:rsidP="00DA002E">
      <w:pPr>
        <w:pStyle w:val="Heading3"/>
      </w:pPr>
      <w:bookmarkStart w:id="5" w:name="_Toc103764059"/>
      <w:r w:rsidRPr="00A77962">
        <w:rPr>
          <w:lang w:val="pt-BR"/>
        </w:rPr>
        <w:t>Tabela 1. Metodologia Atualizada da Estrutura de Oportunidades</w:t>
      </w:r>
      <w:bookmarkEnd w:id="5"/>
    </w:p>
    <w:tbl>
      <w:tblPr>
        <w:tblStyle w:val="RRI"/>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tblCellMar>
        <w:tblLook w:val="04A0" w:firstRow="1" w:lastRow="0" w:firstColumn="1" w:lastColumn="0" w:noHBand="0" w:noVBand="1"/>
      </w:tblPr>
      <w:tblGrid>
        <w:gridCol w:w="625"/>
        <w:gridCol w:w="8725"/>
      </w:tblGrid>
      <w:tr w:rsidR="007F085D" w:rsidRPr="00D402E5" w14:paraId="79F31884" w14:textId="77777777" w:rsidTr="00201CB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D09BBA" w14:textId="552A7FC1" w:rsidR="007F085D" w:rsidRPr="00D402E5" w:rsidRDefault="00BC7177" w:rsidP="0020446A">
            <w:pPr>
              <w:shd w:val="clear" w:color="auto" w:fill="auto"/>
              <w:spacing w:before="0" w:after="0"/>
              <w:rPr>
                <w:color w:val="FFFFFF" w:themeColor="background1"/>
                <w:sz w:val="18"/>
                <w:szCs w:val="18"/>
              </w:rPr>
            </w:pPr>
            <w:r w:rsidRPr="00A77962">
              <w:rPr>
                <w:color w:val="FFFFFF" w:themeColor="background1"/>
                <w:sz w:val="18"/>
                <w:szCs w:val="18"/>
                <w:lang w:val="pt-BR"/>
              </w:rPr>
              <w:t>Enquadramento Jurídico</w:t>
            </w:r>
          </w:p>
        </w:tc>
      </w:tr>
      <w:tr w:rsidR="00A52478" w:rsidRPr="00D402E5" w14:paraId="3623A931" w14:textId="77777777" w:rsidTr="00201C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2"/>
          </w:tcPr>
          <w:p w14:paraId="73559AE1" w14:textId="36FB853D" w:rsidR="00201CB9" w:rsidRPr="00D402E5" w:rsidRDefault="00BC7177" w:rsidP="00A52478">
            <w:pPr>
              <w:shd w:val="clear" w:color="auto" w:fill="auto"/>
              <w:spacing w:before="0" w:after="0"/>
              <w:jc w:val="both"/>
              <w:rPr>
                <w:sz w:val="18"/>
                <w:szCs w:val="18"/>
              </w:rPr>
            </w:pPr>
            <w:r w:rsidRPr="00A77962">
              <w:rPr>
                <w:sz w:val="18"/>
                <w:szCs w:val="18"/>
                <w:lang w:val="pt-BR"/>
              </w:rPr>
              <w:t xml:space="preserve">Pontuação: </w:t>
            </w:r>
            <w:r w:rsidRPr="00A77962">
              <w:rPr>
                <w:b w:val="0"/>
                <w:bCs w:val="0"/>
                <w:sz w:val="18"/>
                <w:szCs w:val="18"/>
                <w:lang w:val="pt-BR"/>
              </w:rPr>
              <w:t>A adequação das estruturas jurídicas nacionais é avaliada com base nos valores de limiar mínimos derivados da Tipologia Estatutária do RRI. Um conjunto limitado de circunstâncias no contexto nacional (como quando as decisões de tribunais internacionais em favor dos direitos de posse com base na comunidade ainda não foram implementadas pelos governos nacionais) pode resultar no rebaixamento da avaliação de um país.</w:t>
            </w:r>
          </w:p>
        </w:tc>
      </w:tr>
      <w:tr w:rsidR="00275ED9" w:rsidRPr="00D402E5" w14:paraId="6C921D2B" w14:textId="77777777" w:rsidTr="00201CB9">
        <w:trPr>
          <w:trHeight w:val="287"/>
        </w:trPr>
        <w:tc>
          <w:tcPr>
            <w:cnfStyle w:val="001000000000" w:firstRow="0" w:lastRow="0" w:firstColumn="1" w:lastColumn="0" w:oddVBand="0" w:evenVBand="0" w:oddHBand="0" w:evenHBand="0" w:firstRowFirstColumn="0" w:firstRowLastColumn="0" w:lastRowFirstColumn="0" w:lastRowLastColumn="0"/>
            <w:tcW w:w="625" w:type="dxa"/>
          </w:tcPr>
          <w:p w14:paraId="111E9598" w14:textId="6CCD00D5" w:rsidR="00275ED9" w:rsidRPr="00D402E5" w:rsidRDefault="00275ED9" w:rsidP="0020446A">
            <w:pPr>
              <w:shd w:val="clear" w:color="auto" w:fill="auto"/>
              <w:spacing w:before="0" w:after="0"/>
              <w:rPr>
                <w:sz w:val="18"/>
                <w:szCs w:val="18"/>
              </w:rPr>
            </w:pPr>
          </w:p>
        </w:tc>
        <w:tc>
          <w:tcPr>
            <w:tcW w:w="8725" w:type="dxa"/>
          </w:tcPr>
          <w:p w14:paraId="450E6887" w14:textId="77777777" w:rsidR="00BC7177" w:rsidRPr="00A77962" w:rsidRDefault="00BC7177" w:rsidP="00BC7177">
            <w:pPr>
              <w:pStyle w:val="ListParagraph"/>
              <w:numPr>
                <w:ilvl w:val="0"/>
                <w:numId w:val="5"/>
              </w:numPr>
              <w:shd w:val="clear" w:color="auto" w:fill="auto"/>
              <w:snapToGrid w:val="0"/>
              <w:spacing w:before="0" w:after="120"/>
              <w:contextualSpacing w:val="0"/>
              <w:jc w:val="both"/>
              <w:cnfStyle w:val="000000000000" w:firstRow="0" w:lastRow="0" w:firstColumn="0" w:lastColumn="0" w:oddVBand="0" w:evenVBand="0" w:oddHBand="0" w:evenHBand="0" w:firstRowFirstColumn="0" w:firstRowLastColumn="0" w:lastRowFirstColumn="0" w:lastRowLastColumn="0"/>
              <w:rPr>
                <w:sz w:val="18"/>
                <w:szCs w:val="18"/>
                <w:lang w:val="pt-BR"/>
              </w:rPr>
            </w:pPr>
            <w:r w:rsidRPr="00A77962">
              <w:rPr>
                <w:b/>
                <w:bCs/>
                <w:sz w:val="18"/>
                <w:szCs w:val="18"/>
                <w:lang w:val="pt-BR"/>
              </w:rPr>
              <w:t>Adequado (5 pontos):</w:t>
            </w:r>
            <w:r w:rsidRPr="00A77962">
              <w:rPr>
                <w:sz w:val="18"/>
                <w:szCs w:val="18"/>
                <w:lang w:val="pt-BR"/>
              </w:rPr>
              <w:t xml:space="preserve"> Um país tem pelo menos 1 CBTR classificado como Propriedade de Povos indígenas, Povos afrodescendentes e/ou Comunidades locais de acordo com a Tipologia Estatutária do RRI. CBTR adicionais podem ou não existir.</w:t>
            </w:r>
          </w:p>
          <w:p w14:paraId="54CCDF34" w14:textId="77777777" w:rsidR="00BC7177" w:rsidRPr="00A77962" w:rsidRDefault="00BC7177" w:rsidP="00BC7177">
            <w:pPr>
              <w:pStyle w:val="ListParagraph"/>
              <w:numPr>
                <w:ilvl w:val="0"/>
                <w:numId w:val="5"/>
              </w:numPr>
              <w:shd w:val="clear" w:color="auto" w:fill="auto"/>
              <w:snapToGrid w:val="0"/>
              <w:spacing w:before="0" w:after="120"/>
              <w:contextualSpacing w:val="0"/>
              <w:jc w:val="both"/>
              <w:cnfStyle w:val="000000000000" w:firstRow="0" w:lastRow="0" w:firstColumn="0" w:lastColumn="0" w:oddVBand="0" w:evenVBand="0" w:oddHBand="0" w:evenHBand="0" w:firstRowFirstColumn="0" w:firstRowLastColumn="0" w:lastRowFirstColumn="0" w:lastRowLastColumn="0"/>
              <w:rPr>
                <w:sz w:val="18"/>
                <w:szCs w:val="18"/>
                <w:lang w:val="pt-BR"/>
              </w:rPr>
            </w:pPr>
            <w:r w:rsidRPr="00A77962">
              <w:rPr>
                <w:b/>
                <w:bCs/>
                <w:sz w:val="18"/>
                <w:szCs w:val="18"/>
                <w:lang w:val="pt-BR"/>
              </w:rPr>
              <w:t>Parcialmente Adequado (3 pontos):</w:t>
            </w:r>
            <w:r w:rsidRPr="00A77962">
              <w:rPr>
                <w:sz w:val="18"/>
                <w:szCs w:val="18"/>
                <w:lang w:val="pt-BR"/>
              </w:rPr>
              <w:t xml:space="preserve"> Um país tem pelo menos 1 CBTR classificado como Designado para Povos indígenas, Povos afrodescendentes e/ou Comunidades locais de acordo com a Tipologia Estatutária do RRI, mas não há CBTR classificados como Propriedade de Povos indígenas, Povos afrodescendentes e/ou Comunidades locais.</w:t>
            </w:r>
          </w:p>
          <w:p w14:paraId="5D5DA50F" w14:textId="529BB7C3" w:rsidR="00275ED9" w:rsidRPr="00D402E5" w:rsidRDefault="00BC7177" w:rsidP="00BC7177">
            <w:pPr>
              <w:pStyle w:val="ListParagraph"/>
              <w:numPr>
                <w:ilvl w:val="0"/>
                <w:numId w:val="5"/>
              </w:numPr>
              <w:shd w:val="clear" w:color="auto" w:fill="auto"/>
              <w:snapToGrid w:val="0"/>
              <w:spacing w:before="0" w:after="120"/>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sidRPr="00A77962">
              <w:rPr>
                <w:b/>
                <w:bCs/>
                <w:sz w:val="18"/>
                <w:szCs w:val="18"/>
                <w:lang w:val="pt-BR"/>
              </w:rPr>
              <w:t>Inadequado (0 pontos):</w:t>
            </w:r>
            <w:r w:rsidRPr="00A77962">
              <w:rPr>
                <w:sz w:val="18"/>
                <w:szCs w:val="18"/>
                <w:lang w:val="pt-BR"/>
              </w:rPr>
              <w:t xml:space="preserve"> Um país tem apenas CBTR classificados como Administrados pelo Governo de acordo com a Tipologia Estatutária do RRI, ou não há CBTR.</w:t>
            </w:r>
          </w:p>
        </w:tc>
      </w:tr>
      <w:tr w:rsidR="00A52478" w:rsidRPr="00D402E5" w14:paraId="235C5668" w14:textId="77777777" w:rsidTr="00201CB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415A68"/>
          </w:tcPr>
          <w:p w14:paraId="51AE360C" w14:textId="5C5C40D3" w:rsidR="00A52478" w:rsidRPr="00D402E5" w:rsidRDefault="00BC7177" w:rsidP="00803FA9">
            <w:pPr>
              <w:shd w:val="clear" w:color="auto" w:fill="auto"/>
              <w:spacing w:before="0" w:after="0"/>
              <w:rPr>
                <w:color w:val="FFFFFF" w:themeColor="background1"/>
                <w:sz w:val="18"/>
                <w:szCs w:val="18"/>
              </w:rPr>
            </w:pPr>
            <w:r w:rsidRPr="00A77962">
              <w:rPr>
                <w:color w:val="FFFFFF" w:themeColor="background1"/>
                <w:sz w:val="18"/>
                <w:szCs w:val="18"/>
                <w:lang w:val="pt-BR"/>
              </w:rPr>
              <w:t>Disposição do Governo Nacional e Subnacional</w:t>
            </w:r>
          </w:p>
        </w:tc>
      </w:tr>
      <w:tr w:rsidR="009E4FB6" w:rsidRPr="00D402E5" w14:paraId="45834359" w14:textId="77777777" w:rsidTr="00201CB9">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CE6ED"/>
          </w:tcPr>
          <w:p w14:paraId="34219567" w14:textId="3760D64E" w:rsidR="009E4FB6" w:rsidRPr="00D402E5" w:rsidRDefault="00BC7177" w:rsidP="00201CB9">
            <w:pPr>
              <w:shd w:val="clear" w:color="auto" w:fill="DCE6ED"/>
              <w:spacing w:before="0" w:after="0"/>
              <w:jc w:val="both"/>
              <w:rPr>
                <w:b w:val="0"/>
                <w:bCs w:val="0"/>
                <w:sz w:val="18"/>
                <w:szCs w:val="18"/>
              </w:rPr>
            </w:pPr>
            <w:r w:rsidRPr="00A77962">
              <w:rPr>
                <w:sz w:val="18"/>
                <w:szCs w:val="18"/>
                <w:lang w:val="pt-BR"/>
              </w:rPr>
              <w:t xml:space="preserve">Pontuação: </w:t>
            </w:r>
            <w:r w:rsidRPr="00A77962">
              <w:rPr>
                <w:b w:val="0"/>
                <w:bCs w:val="0"/>
                <w:sz w:val="18"/>
                <w:szCs w:val="18"/>
                <w:lang w:val="pt-BR"/>
              </w:rPr>
              <w:t xml:space="preserve">Para avaliar a disposição dos governos nacionais e/ou subnacionais de promover os direitos de posse com base na comunidade, </w:t>
            </w:r>
            <w:r>
              <w:rPr>
                <w:b w:val="0"/>
                <w:bCs w:val="0"/>
                <w:sz w:val="18"/>
                <w:szCs w:val="18"/>
                <w:lang w:val="pt-BR"/>
              </w:rPr>
              <w:t>a</w:t>
            </w:r>
            <w:r w:rsidRPr="00A77962">
              <w:rPr>
                <w:b w:val="0"/>
                <w:bCs w:val="0"/>
                <w:sz w:val="18"/>
                <w:szCs w:val="18"/>
                <w:lang w:val="pt-BR"/>
              </w:rPr>
              <w:t xml:space="preserve"> </w:t>
            </w:r>
            <w:r>
              <w:rPr>
                <w:b w:val="0"/>
                <w:bCs w:val="0"/>
                <w:sz w:val="18"/>
                <w:szCs w:val="18"/>
                <w:lang w:val="pt-BR"/>
              </w:rPr>
              <w:t>Estrutura de Oportunidades</w:t>
            </w:r>
            <w:r w:rsidRPr="00A77962">
              <w:rPr>
                <w:b w:val="0"/>
                <w:bCs w:val="0"/>
                <w:sz w:val="18"/>
                <w:szCs w:val="18"/>
                <w:lang w:val="pt-BR"/>
              </w:rPr>
              <w:t xml:space="preserve"> depende de um conjunto não exaustivo de indicadores qualitativos:</w:t>
            </w:r>
            <w:r w:rsidR="009E4FB6" w:rsidRPr="00D402E5">
              <w:rPr>
                <w:b w:val="0"/>
                <w:bCs w:val="0"/>
                <w:sz w:val="18"/>
                <w:szCs w:val="18"/>
              </w:rPr>
              <w:t xml:space="preserve"> </w:t>
            </w:r>
          </w:p>
          <w:p w14:paraId="1DC34805" w14:textId="77777777" w:rsidR="00BC7177" w:rsidRPr="00BC7177" w:rsidRDefault="00BC7177" w:rsidP="00BC7177">
            <w:pPr>
              <w:pStyle w:val="ListParagraph"/>
              <w:numPr>
                <w:ilvl w:val="0"/>
                <w:numId w:val="6"/>
              </w:numPr>
              <w:shd w:val="clear" w:color="auto" w:fill="auto"/>
              <w:spacing w:before="0" w:after="0"/>
              <w:jc w:val="both"/>
              <w:rPr>
                <w:b w:val="0"/>
                <w:bCs w:val="0"/>
                <w:sz w:val="18"/>
                <w:szCs w:val="18"/>
                <w:lang w:val="pt-BR"/>
              </w:rPr>
            </w:pPr>
            <w:r w:rsidRPr="00A77962">
              <w:rPr>
                <w:b w:val="0"/>
                <w:bCs w:val="0"/>
                <w:sz w:val="18"/>
                <w:szCs w:val="18"/>
                <w:lang w:val="pt-BR"/>
              </w:rPr>
              <w:lastRenderedPageBreak/>
              <w:t>Onde os governos nacionais e subnacionais têm um papel no reconhecimento legal e/ou implementação dos direitos de posse de base comunitária, estes são avaliados e pontuados separadamente. Nessas circunstâncias, uma avaliação “Adequad</w:t>
            </w:r>
            <w:r>
              <w:rPr>
                <w:b w:val="0"/>
                <w:bCs w:val="0"/>
                <w:sz w:val="18"/>
                <w:szCs w:val="18"/>
                <w:lang w:val="pt-BR"/>
              </w:rPr>
              <w:t>o</w:t>
            </w:r>
            <w:r w:rsidRPr="00A77962">
              <w:rPr>
                <w:b w:val="0"/>
                <w:bCs w:val="0"/>
                <w:sz w:val="18"/>
                <w:szCs w:val="18"/>
                <w:lang w:val="pt-BR"/>
              </w:rPr>
              <w:t>” em nível nacional recebe 4 pontos e em nível subnacional 2 pontos; uma avaliação “Parcialmente Adequad</w:t>
            </w:r>
            <w:r>
              <w:rPr>
                <w:b w:val="0"/>
                <w:bCs w:val="0"/>
                <w:sz w:val="18"/>
                <w:szCs w:val="18"/>
                <w:lang w:val="pt-BR"/>
              </w:rPr>
              <w:t>o</w:t>
            </w:r>
            <w:r w:rsidRPr="00A77962">
              <w:rPr>
                <w:b w:val="0"/>
                <w:bCs w:val="0"/>
                <w:sz w:val="18"/>
                <w:szCs w:val="18"/>
                <w:lang w:val="pt-BR"/>
              </w:rPr>
              <w:t>” no nível nacional recebe 2 pontos e no nível subnacional recebe 1 ponto; e uma avaliação “</w:t>
            </w:r>
            <w:r>
              <w:rPr>
                <w:b w:val="0"/>
                <w:bCs w:val="0"/>
                <w:sz w:val="18"/>
                <w:szCs w:val="18"/>
                <w:lang w:val="pt-BR"/>
              </w:rPr>
              <w:t>I</w:t>
            </w:r>
            <w:r w:rsidRPr="00A77962">
              <w:rPr>
                <w:b w:val="0"/>
                <w:bCs w:val="0"/>
                <w:sz w:val="18"/>
                <w:szCs w:val="18"/>
                <w:lang w:val="pt-BR"/>
              </w:rPr>
              <w:t>nadequad</w:t>
            </w:r>
            <w:r>
              <w:rPr>
                <w:b w:val="0"/>
                <w:bCs w:val="0"/>
                <w:sz w:val="18"/>
                <w:szCs w:val="18"/>
                <w:lang w:val="pt-BR"/>
              </w:rPr>
              <w:t>o</w:t>
            </w:r>
            <w:r w:rsidRPr="00A77962">
              <w:rPr>
                <w:b w:val="0"/>
                <w:bCs w:val="0"/>
                <w:sz w:val="18"/>
                <w:szCs w:val="18"/>
                <w:lang w:val="pt-BR"/>
              </w:rPr>
              <w:t>” recebe 0 pontos.</w:t>
            </w:r>
          </w:p>
          <w:p w14:paraId="286BAAC6" w14:textId="05F4DCB2" w:rsidR="00201CB9" w:rsidRPr="00BC7177" w:rsidRDefault="00BC7177" w:rsidP="00BC7177">
            <w:pPr>
              <w:pStyle w:val="ListParagraph"/>
              <w:numPr>
                <w:ilvl w:val="0"/>
                <w:numId w:val="6"/>
              </w:numPr>
              <w:shd w:val="clear" w:color="auto" w:fill="auto"/>
              <w:spacing w:before="0" w:after="0"/>
              <w:jc w:val="both"/>
              <w:rPr>
                <w:b w:val="0"/>
                <w:bCs w:val="0"/>
                <w:sz w:val="18"/>
                <w:szCs w:val="18"/>
                <w:lang w:val="pt-BR"/>
              </w:rPr>
            </w:pPr>
            <w:r w:rsidRPr="00BC7177">
              <w:rPr>
                <w:b w:val="0"/>
                <w:bCs w:val="0"/>
                <w:sz w:val="18"/>
                <w:szCs w:val="18"/>
                <w:lang w:val="pt-BR"/>
              </w:rPr>
              <w:t>Onde os governos subnacionais não desempenham um papel no reconhecimento legal e/ou implementação dos direitos de posse de base comunitária, uma avaliação "Adequado" recebe 6 pontos, uma avaliação "Parcialmente Adequado" recebe 3 pontos e uma avaliação "Inadequado" recebe 0 pontos.</w:t>
            </w:r>
          </w:p>
        </w:tc>
      </w:tr>
      <w:tr w:rsidR="00A52478" w:rsidRPr="00D402E5" w14:paraId="3DEEA6E7" w14:textId="77777777" w:rsidTr="00201CB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5" w:type="dxa"/>
            <w:shd w:val="clear" w:color="auto" w:fill="FFFFFF" w:themeFill="background1"/>
          </w:tcPr>
          <w:p w14:paraId="57BB89DE" w14:textId="77777777" w:rsidR="00A52478" w:rsidRPr="00D402E5" w:rsidRDefault="00A52478" w:rsidP="0020446A">
            <w:pPr>
              <w:shd w:val="clear" w:color="auto" w:fill="auto"/>
              <w:spacing w:before="0" w:after="0"/>
              <w:rPr>
                <w:sz w:val="18"/>
                <w:szCs w:val="18"/>
              </w:rPr>
            </w:pPr>
          </w:p>
        </w:tc>
        <w:tc>
          <w:tcPr>
            <w:tcW w:w="8725" w:type="dxa"/>
            <w:shd w:val="clear" w:color="auto" w:fill="FFFFFF" w:themeFill="background1"/>
          </w:tcPr>
          <w:p w14:paraId="7578417F" w14:textId="0A59AECC" w:rsidR="009E4FB6" w:rsidRPr="00201CB9" w:rsidRDefault="00BC7177" w:rsidP="00803FA9">
            <w:pPr>
              <w:shd w:val="clear" w:color="auto" w:fill="auto"/>
              <w:snapToGrid w:val="0"/>
              <w:spacing w:before="0" w:after="120"/>
              <w:jc w:val="both"/>
              <w:cnfStyle w:val="000000100000" w:firstRow="0" w:lastRow="0" w:firstColumn="0" w:lastColumn="0" w:oddVBand="0" w:evenVBand="0" w:oddHBand="1" w:evenHBand="0" w:firstRowFirstColumn="0" w:firstRowLastColumn="0" w:lastRowFirstColumn="0" w:lastRowLastColumn="0"/>
              <w:rPr>
                <w:i/>
                <w:iCs/>
                <w:color w:val="44546A" w:themeColor="text2"/>
                <w:sz w:val="18"/>
                <w:szCs w:val="18"/>
              </w:rPr>
            </w:pPr>
            <w:r>
              <w:rPr>
                <w:b/>
                <w:bCs/>
                <w:i/>
                <w:iCs/>
                <w:color w:val="44546A" w:themeColor="text2"/>
                <w:sz w:val="18"/>
                <w:szCs w:val="18"/>
                <w:lang w:val="pt-BR"/>
              </w:rPr>
              <w:t>Disposição</w:t>
            </w:r>
            <w:r w:rsidRPr="00A77962">
              <w:rPr>
                <w:b/>
                <w:bCs/>
                <w:i/>
                <w:iCs/>
                <w:color w:val="44546A" w:themeColor="text2"/>
                <w:sz w:val="18"/>
                <w:szCs w:val="18"/>
                <w:lang w:val="pt-BR"/>
              </w:rPr>
              <w:t xml:space="preserve"> do Governo Nacional</w:t>
            </w:r>
            <w:r w:rsidR="009E4FB6" w:rsidRPr="00201CB9">
              <w:rPr>
                <w:b/>
                <w:bCs/>
                <w:i/>
                <w:iCs/>
                <w:color w:val="44546A" w:themeColor="text2"/>
                <w:sz w:val="18"/>
                <w:szCs w:val="18"/>
              </w:rPr>
              <w:t xml:space="preserve"> </w:t>
            </w:r>
          </w:p>
          <w:p w14:paraId="50A4F000" w14:textId="791AF43A" w:rsidR="00A52478" w:rsidRPr="00D402E5" w:rsidRDefault="00BC7177" w:rsidP="00201CB9">
            <w:pPr>
              <w:pStyle w:val="ListParagraph"/>
              <w:numPr>
                <w:ilvl w:val="0"/>
                <w:numId w:val="5"/>
              </w:numPr>
              <w:shd w:val="clear" w:color="auto" w:fill="auto"/>
              <w:snapToGrid w:val="0"/>
              <w:spacing w:before="0"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b/>
                <w:bCs/>
                <w:sz w:val="18"/>
                <w:szCs w:val="18"/>
                <w:lang w:val="pt-BR"/>
              </w:rPr>
              <w:t>Adequado</w:t>
            </w:r>
            <w:r w:rsidRPr="00A77962">
              <w:rPr>
                <w:sz w:val="18"/>
                <w:szCs w:val="18"/>
                <w:lang w:val="pt-BR"/>
              </w:rPr>
              <w:t xml:space="preserve"> (4 ou 6 pontos – ver acima): O governo nacional demonstrou seu compromisso de promover direitos por meio de dois ou mais dos seguintes:</w:t>
            </w:r>
          </w:p>
          <w:p w14:paraId="22F7A6E4" w14:textId="77777777" w:rsidR="00BC7177" w:rsidRPr="00A77962" w:rsidRDefault="00BC7177" w:rsidP="00BC7177">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 xml:space="preserve">Apoio documentado político (governo) </w:t>
            </w:r>
            <w:r>
              <w:rPr>
                <w:sz w:val="18"/>
                <w:szCs w:val="18"/>
                <w:lang w:val="pt-BR"/>
              </w:rPr>
              <w:t>e/ou</w:t>
            </w:r>
            <w:r w:rsidRPr="00A77962">
              <w:rPr>
                <w:sz w:val="18"/>
                <w:szCs w:val="18"/>
                <w:lang w:val="pt-BR"/>
              </w:rPr>
              <w:t xml:space="preserve"> administrativo (departamentos, ministérios) para direitos de posse baseados na comunidade (por exemplo, política escrita ou declarações de prioridade, ordens executivas, planos nacionais ou outras formas de reconhecimento público)</w:t>
            </w:r>
          </w:p>
          <w:p w14:paraId="11CA45EF" w14:textId="77777777" w:rsidR="00BC7177" w:rsidRPr="00A77962" w:rsidRDefault="00BC7177" w:rsidP="00BC7177">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Desenvolvido, aprovado ou mantido permitindo reformas legislativas, estruturas regulatórias ou diretrizes de implementação</w:t>
            </w:r>
          </w:p>
          <w:p w14:paraId="6F7B3C1D" w14:textId="17E991C8" w:rsidR="00A05624" w:rsidRPr="00D402E5" w:rsidRDefault="00BC7177" w:rsidP="00BC7177">
            <w:pPr>
              <w:pStyle w:val="ListParagraph"/>
              <w:numPr>
                <w:ilvl w:val="1"/>
                <w:numId w:val="5"/>
              </w:numPr>
              <w:shd w:val="clear" w:color="auto" w:fill="auto"/>
              <w:snapToGrid w:val="0"/>
              <w:spacing w:before="0"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Ações direcionadas realizadas por agências governamentais responsáveis ​​para avançar os direitos de posse baseados na comunidade (por exemplo, mandato e orçamento claros, coordenação ativa com organizações comunitárias responsáveis, investimentos dedicados)</w:t>
            </w:r>
          </w:p>
          <w:p w14:paraId="72B50975" w14:textId="69F783BC" w:rsidR="00D45C32" w:rsidRPr="00D402E5" w:rsidRDefault="00BC7177" w:rsidP="00201CB9">
            <w:pPr>
              <w:pStyle w:val="ListParagraph"/>
              <w:numPr>
                <w:ilvl w:val="0"/>
                <w:numId w:val="5"/>
              </w:numPr>
              <w:shd w:val="clear" w:color="auto" w:fill="auto"/>
              <w:snapToGrid w:val="0"/>
              <w:spacing w:before="0"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b/>
                <w:bCs/>
                <w:sz w:val="18"/>
                <w:szCs w:val="18"/>
                <w:lang w:val="pt-BR"/>
              </w:rPr>
              <w:t>Parcialmente Adequado</w:t>
            </w:r>
            <w:r w:rsidRPr="00A77962">
              <w:rPr>
                <w:sz w:val="18"/>
                <w:szCs w:val="18"/>
                <w:lang w:val="pt-BR"/>
              </w:rPr>
              <w:t xml:space="preserve"> (2 ou 3 pontos – ver acima): Algumas indicações de</w:t>
            </w:r>
            <w:r>
              <w:rPr>
                <w:sz w:val="18"/>
                <w:szCs w:val="18"/>
                <w:lang w:val="pt-BR"/>
              </w:rPr>
              <w:t xml:space="preserve"> disposição</w:t>
            </w:r>
            <w:r w:rsidRPr="00A77962">
              <w:rPr>
                <w:sz w:val="18"/>
                <w:szCs w:val="18"/>
                <w:lang w:val="pt-BR"/>
              </w:rPr>
              <w:t xml:space="preserve"> do governo nacional podem estar presentes, mas o apoio aos direitos de posse de base comunitária é prejudicado por um ou mais dos seguintes obstáculos:</w:t>
            </w:r>
          </w:p>
          <w:p w14:paraId="5D72AF39" w14:textId="77777777" w:rsidR="00BC7177" w:rsidRPr="00A77962" w:rsidRDefault="00BC7177" w:rsidP="00BC7177">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 xml:space="preserve">Ações limitadas ou insignificantes tomadas para resolver lacunas, implementar planos ou resolver </w:t>
            </w:r>
            <w:r>
              <w:rPr>
                <w:sz w:val="18"/>
                <w:szCs w:val="18"/>
                <w:lang w:val="pt-BR"/>
              </w:rPr>
              <w:t>impedimentos</w:t>
            </w:r>
          </w:p>
          <w:p w14:paraId="13B90C3B" w14:textId="77777777" w:rsidR="00BC7177" w:rsidRPr="00A77962" w:rsidRDefault="00BC7177" w:rsidP="00BC7177">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Existência de mandatos e responsabilidades institucionais concorrentes</w:t>
            </w:r>
          </w:p>
          <w:p w14:paraId="68ADE4BC" w14:textId="3D16E3D6" w:rsidR="00311B09" w:rsidRPr="00201CB9" w:rsidRDefault="00BC7177" w:rsidP="00BC7177">
            <w:pPr>
              <w:pStyle w:val="ListParagraph"/>
              <w:numPr>
                <w:ilvl w:val="1"/>
                <w:numId w:val="5"/>
              </w:numPr>
              <w:shd w:val="clear" w:color="auto" w:fill="auto"/>
              <w:spacing w:before="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Confiança, coordenação e envolvimento limitados entre as autoridades responsáveis ​​e as organizações indígenas ou da sociedade civil</w:t>
            </w:r>
          </w:p>
          <w:p w14:paraId="06A69BB5" w14:textId="098F4901" w:rsidR="00D45C32" w:rsidRPr="00D402E5" w:rsidRDefault="00491BF9" w:rsidP="00201CB9">
            <w:pPr>
              <w:pStyle w:val="ListParagraph"/>
              <w:numPr>
                <w:ilvl w:val="0"/>
                <w:numId w:val="5"/>
              </w:numPr>
              <w:shd w:val="clear" w:color="auto" w:fill="auto"/>
              <w:snapToGrid w:val="0"/>
              <w:spacing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b/>
                <w:bCs/>
                <w:sz w:val="18"/>
                <w:szCs w:val="18"/>
                <w:lang w:val="pt-BR"/>
              </w:rPr>
              <w:t>Inadequado</w:t>
            </w:r>
            <w:r w:rsidRPr="00A77962">
              <w:rPr>
                <w:sz w:val="18"/>
                <w:szCs w:val="18"/>
                <w:lang w:val="pt-BR"/>
              </w:rPr>
              <w:t xml:space="preserve"> (0 pontos): O apoio aos direitos de posse com base na comunidade é impedido por um ou mais dos seguintes:</w:t>
            </w:r>
          </w:p>
          <w:p w14:paraId="269287F3" w14:textId="77777777" w:rsidR="00491BF9" w:rsidRPr="00A77962"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 xml:space="preserve">Nenhum apoio político (governo) </w:t>
            </w:r>
            <w:r>
              <w:rPr>
                <w:sz w:val="18"/>
                <w:szCs w:val="18"/>
                <w:lang w:val="pt-BR"/>
              </w:rPr>
              <w:t>e/ou</w:t>
            </w:r>
            <w:r w:rsidRPr="00A77962">
              <w:rPr>
                <w:sz w:val="18"/>
                <w:szCs w:val="18"/>
                <w:lang w:val="pt-BR"/>
              </w:rPr>
              <w:t xml:space="preserve"> administrativo (departamentos, ministérios) para o reconhecimento legal dos direitos dos povos indígenas, afrodescendentes ou das comunidades locais à terra e aos recursos.</w:t>
            </w:r>
          </w:p>
          <w:p w14:paraId="49D6CEC3" w14:textId="77777777" w:rsidR="00491BF9"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Não existe nenhuma autoridade designada (departamento ou agência), orçamento ou recursos humanos dedicados.</w:t>
            </w:r>
          </w:p>
          <w:p w14:paraId="091291FE" w14:textId="3CBD6BA1" w:rsidR="00491BF9" w:rsidRPr="00491BF9"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491BF9">
              <w:rPr>
                <w:sz w:val="18"/>
                <w:szCs w:val="18"/>
                <w:lang w:val="pt-BR"/>
              </w:rPr>
              <w:t>A instabilidade política e/ou conflito impede uma ação significativa sobre a posse.</w:t>
            </w:r>
          </w:p>
          <w:p w14:paraId="20647C2E" w14:textId="6815E952" w:rsidR="001B4150" w:rsidRPr="00201CB9" w:rsidRDefault="00491BF9" w:rsidP="00491BF9">
            <w:pPr>
              <w:shd w:val="clear" w:color="auto" w:fill="auto"/>
              <w:snapToGrid w:val="0"/>
              <w:spacing w:after="120"/>
              <w:jc w:val="both"/>
              <w:cnfStyle w:val="000000100000" w:firstRow="0" w:lastRow="0" w:firstColumn="0" w:lastColumn="0" w:oddVBand="0" w:evenVBand="0" w:oddHBand="1" w:evenHBand="0" w:firstRowFirstColumn="0" w:firstRowLastColumn="0" w:lastRowFirstColumn="0" w:lastRowLastColumn="0"/>
              <w:rPr>
                <w:b/>
                <w:bCs/>
                <w:i/>
                <w:iCs/>
                <w:color w:val="44546A" w:themeColor="text2"/>
                <w:sz w:val="18"/>
                <w:szCs w:val="18"/>
              </w:rPr>
            </w:pPr>
            <w:r>
              <w:rPr>
                <w:b/>
                <w:bCs/>
                <w:i/>
                <w:iCs/>
                <w:color w:val="44546A" w:themeColor="text2"/>
                <w:sz w:val="18"/>
                <w:szCs w:val="18"/>
                <w:lang w:val="pt-BR"/>
              </w:rPr>
              <w:t>Disposição</w:t>
            </w:r>
            <w:r w:rsidRPr="00A77962">
              <w:rPr>
                <w:b/>
                <w:bCs/>
                <w:i/>
                <w:iCs/>
                <w:color w:val="44546A" w:themeColor="text2"/>
                <w:sz w:val="18"/>
                <w:szCs w:val="18"/>
                <w:lang w:val="pt-BR"/>
              </w:rPr>
              <w:t xml:space="preserve"> do Governo Subnacional</w:t>
            </w:r>
          </w:p>
          <w:p w14:paraId="49FCC65B" w14:textId="0725510E" w:rsidR="001B4150" w:rsidRPr="00D402E5" w:rsidRDefault="00491BF9" w:rsidP="00201CB9">
            <w:pPr>
              <w:pStyle w:val="ListParagraph"/>
              <w:numPr>
                <w:ilvl w:val="0"/>
                <w:numId w:val="5"/>
              </w:numPr>
              <w:shd w:val="clear" w:color="auto" w:fill="auto"/>
              <w:snapToGrid w:val="0"/>
              <w:spacing w:before="0"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b/>
                <w:bCs/>
                <w:sz w:val="18"/>
                <w:szCs w:val="18"/>
                <w:lang w:val="pt-BR"/>
              </w:rPr>
              <w:t>Adequado</w:t>
            </w:r>
            <w:r w:rsidRPr="00A77962">
              <w:rPr>
                <w:sz w:val="18"/>
                <w:szCs w:val="18"/>
                <w:lang w:val="pt-BR"/>
              </w:rPr>
              <w:t xml:space="preserve"> (2 pontos, se aplicável - ver acima): Os governos subnacionais demonstraram seu compromisso de promover direitos por meio de dois ou mais dos seguintes:</w:t>
            </w:r>
          </w:p>
          <w:p w14:paraId="379847D5" w14:textId="77777777" w:rsidR="00491BF9" w:rsidRPr="00A77962"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 xml:space="preserve">Apoio político (governo) </w:t>
            </w:r>
            <w:r>
              <w:rPr>
                <w:sz w:val="18"/>
                <w:szCs w:val="18"/>
                <w:lang w:val="pt-BR"/>
              </w:rPr>
              <w:t>e/ou</w:t>
            </w:r>
            <w:r w:rsidRPr="00A77962">
              <w:rPr>
                <w:sz w:val="18"/>
                <w:szCs w:val="18"/>
                <w:lang w:val="pt-BR"/>
              </w:rPr>
              <w:t xml:space="preserve"> administrativo (departamentos, funcionários) documentado para direitos de posse baseados na comunidade (por exemplo, política escrita ou </w:t>
            </w:r>
            <w:r w:rsidRPr="00A77962">
              <w:rPr>
                <w:sz w:val="18"/>
                <w:szCs w:val="18"/>
                <w:lang w:val="pt-BR"/>
              </w:rPr>
              <w:lastRenderedPageBreak/>
              <w:t>declarações de prioridade, planos subnacionais ou outras formas de reconhecimento público).</w:t>
            </w:r>
          </w:p>
          <w:p w14:paraId="68088354" w14:textId="77777777" w:rsidR="00491BF9" w:rsidRPr="00A77962"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Pr>
                <w:sz w:val="18"/>
                <w:szCs w:val="18"/>
                <w:lang w:val="pt-BR"/>
              </w:rPr>
              <w:t>R</w:t>
            </w:r>
            <w:r w:rsidRPr="00A77962">
              <w:rPr>
                <w:sz w:val="18"/>
                <w:szCs w:val="18"/>
                <w:lang w:val="pt-BR"/>
              </w:rPr>
              <w:t>eformas legislativas</w:t>
            </w:r>
            <w:r>
              <w:rPr>
                <w:sz w:val="18"/>
                <w:szCs w:val="18"/>
                <w:lang w:val="pt-BR"/>
              </w:rPr>
              <w:t xml:space="preserve"> habilitadas</w:t>
            </w:r>
            <w:r w:rsidRPr="00A77962">
              <w:rPr>
                <w:sz w:val="18"/>
                <w:szCs w:val="18"/>
                <w:lang w:val="pt-BR"/>
              </w:rPr>
              <w:t>, estruturas regulatórias ou diretrizes de implementação desenvolvidas, aprovadas ou mantidas pelo governo no poder.</w:t>
            </w:r>
          </w:p>
          <w:p w14:paraId="1BE0CD01" w14:textId="29A31C43" w:rsidR="001B4150" w:rsidRPr="00D402E5"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Ações direcionadas realizadas por entidades responsáveis ​​para promover os direitos de posse com base na comunidade (por exemplo, mandato e orçamento claros, coordenação ativa com organizações comunitárias responsáveis, investimentos dedicados).</w:t>
            </w:r>
          </w:p>
          <w:p w14:paraId="1A25559D" w14:textId="77B48530" w:rsidR="001B4150" w:rsidRPr="00D402E5" w:rsidRDefault="00491BF9" w:rsidP="00201CB9">
            <w:pPr>
              <w:pStyle w:val="ListParagraph"/>
              <w:numPr>
                <w:ilvl w:val="0"/>
                <w:numId w:val="5"/>
              </w:numPr>
              <w:shd w:val="clear" w:color="auto" w:fill="auto"/>
              <w:snapToGrid w:val="0"/>
              <w:spacing w:before="0"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b/>
                <w:bCs/>
                <w:sz w:val="18"/>
                <w:szCs w:val="18"/>
                <w:lang w:val="pt-BR"/>
              </w:rPr>
              <w:t>Parcialmente Adequado</w:t>
            </w:r>
            <w:r w:rsidRPr="00A77962">
              <w:rPr>
                <w:sz w:val="18"/>
                <w:szCs w:val="18"/>
                <w:lang w:val="pt-BR"/>
              </w:rPr>
              <w:t xml:space="preserve"> (1 ponto, se aplicável - ver acima): Algumas indicações de boa vontade do governo subnacional podem estar presentes, mas o apoio aos direitos de posse de base comunitária é prejudicado por um ou mais dos seguintes obstáculos:</w:t>
            </w:r>
          </w:p>
          <w:p w14:paraId="4A569095" w14:textId="77777777" w:rsidR="00491BF9" w:rsidRPr="00A77962"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 xml:space="preserve">Ações limitadas ou insignificantes tomadas para resolver lacunas, implementar planos ou resolver </w:t>
            </w:r>
            <w:r>
              <w:rPr>
                <w:sz w:val="18"/>
                <w:szCs w:val="18"/>
                <w:lang w:val="pt-BR"/>
              </w:rPr>
              <w:t>impedimentos</w:t>
            </w:r>
            <w:r w:rsidRPr="00A77962">
              <w:rPr>
                <w:sz w:val="18"/>
                <w:szCs w:val="18"/>
                <w:lang w:val="pt-BR"/>
              </w:rPr>
              <w:t>.</w:t>
            </w:r>
          </w:p>
          <w:p w14:paraId="75F58143" w14:textId="77777777" w:rsidR="00491BF9" w:rsidRPr="00A77962"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Existência de mandatos e responsabilidades institucionais concorrentes.</w:t>
            </w:r>
          </w:p>
          <w:p w14:paraId="56DC694D" w14:textId="666CDF13" w:rsidR="001B4150" w:rsidRPr="00D402E5"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Confiança, coordenação e envolvimento limitados entre as agências responsáveis ​​e as organizações indígenas ou da sociedade civil.</w:t>
            </w:r>
          </w:p>
          <w:p w14:paraId="60C091E0" w14:textId="2B3990F1" w:rsidR="001B4150" w:rsidRPr="00D402E5" w:rsidRDefault="00491BF9" w:rsidP="00201CB9">
            <w:pPr>
              <w:pStyle w:val="ListParagraph"/>
              <w:numPr>
                <w:ilvl w:val="0"/>
                <w:numId w:val="5"/>
              </w:numPr>
              <w:shd w:val="clear" w:color="auto" w:fill="auto"/>
              <w:snapToGrid w:val="0"/>
              <w:spacing w:before="0" w:after="0"/>
              <w:contextualSpacing w:val="0"/>
              <w:jc w:val="both"/>
              <w:cnfStyle w:val="000000100000" w:firstRow="0" w:lastRow="0" w:firstColumn="0" w:lastColumn="0" w:oddVBand="0" w:evenVBand="0" w:oddHBand="1" w:evenHBand="0" w:firstRowFirstColumn="0" w:firstRowLastColumn="0" w:lastRowFirstColumn="0" w:lastRowLastColumn="0"/>
              <w:rPr>
                <w:sz w:val="18"/>
                <w:szCs w:val="18"/>
              </w:rPr>
            </w:pPr>
            <w:r w:rsidRPr="00A77962">
              <w:rPr>
                <w:b/>
                <w:bCs/>
                <w:sz w:val="18"/>
                <w:szCs w:val="18"/>
                <w:lang w:val="pt-BR"/>
              </w:rPr>
              <w:t>Inadequado</w:t>
            </w:r>
            <w:r w:rsidRPr="00A77962">
              <w:rPr>
                <w:sz w:val="18"/>
                <w:szCs w:val="18"/>
                <w:lang w:val="pt-BR"/>
              </w:rPr>
              <w:t xml:space="preserve"> (0 pontos, se aplicável - ver acima): O apoio aos direitos de posse de base comunitária é impedido por um ou mais dos seguintes:</w:t>
            </w:r>
          </w:p>
          <w:p w14:paraId="432C9C2C" w14:textId="77777777" w:rsidR="00491BF9"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A77962">
              <w:rPr>
                <w:sz w:val="18"/>
                <w:szCs w:val="18"/>
                <w:lang w:val="pt-BR"/>
              </w:rPr>
              <w:t xml:space="preserve">Nenhum apoio político (governo) </w:t>
            </w:r>
            <w:r>
              <w:rPr>
                <w:sz w:val="18"/>
                <w:szCs w:val="18"/>
                <w:lang w:val="pt-BR"/>
              </w:rPr>
              <w:t>e/ou</w:t>
            </w:r>
            <w:r w:rsidRPr="00A77962">
              <w:rPr>
                <w:sz w:val="18"/>
                <w:szCs w:val="18"/>
                <w:lang w:val="pt-BR"/>
              </w:rPr>
              <w:t xml:space="preserve"> administrativo (departamentos, funcionários) para o reconhecimento legal dos direitos dos povos indígenas, afrodescendentes ou das comunidades locais à terra e aos recursos.</w:t>
            </w:r>
          </w:p>
          <w:p w14:paraId="63A84B2B" w14:textId="77777777" w:rsidR="00201CB9" w:rsidRDefault="00491BF9" w:rsidP="00491BF9">
            <w:pPr>
              <w:pStyle w:val="ListParagraph"/>
              <w:numPr>
                <w:ilvl w:val="1"/>
                <w:numId w:val="5"/>
              </w:numPr>
              <w:shd w:val="clear" w:color="auto" w:fill="auto"/>
              <w:spacing w:before="0" w:after="0"/>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491BF9">
              <w:rPr>
                <w:sz w:val="18"/>
                <w:szCs w:val="18"/>
                <w:lang w:val="pt-BR"/>
              </w:rPr>
              <w:t>Não existe nenhuma autoridade designada (departamento ou agência), orçamento ou recursos humanos dedicados.</w:t>
            </w:r>
          </w:p>
          <w:p w14:paraId="7E7086C1" w14:textId="2170137C" w:rsidR="00491BF9" w:rsidRPr="00491BF9" w:rsidRDefault="00491BF9" w:rsidP="00491BF9">
            <w:pPr>
              <w:pStyle w:val="ListParagraph"/>
              <w:shd w:val="clear" w:color="auto" w:fill="auto"/>
              <w:spacing w:before="0" w:after="0"/>
              <w:ind w:left="1080"/>
              <w:jc w:val="both"/>
              <w:cnfStyle w:val="000000100000" w:firstRow="0" w:lastRow="0" w:firstColumn="0" w:lastColumn="0" w:oddVBand="0" w:evenVBand="0" w:oddHBand="1" w:evenHBand="0" w:firstRowFirstColumn="0" w:firstRowLastColumn="0" w:lastRowFirstColumn="0" w:lastRowLastColumn="0"/>
              <w:rPr>
                <w:sz w:val="18"/>
                <w:szCs w:val="18"/>
                <w:lang w:val="pt-BR"/>
              </w:rPr>
            </w:pPr>
          </w:p>
        </w:tc>
      </w:tr>
      <w:tr w:rsidR="00F04381" w:rsidRPr="00D402E5" w14:paraId="7A60C33D" w14:textId="77777777" w:rsidTr="00201CB9">
        <w:trPr>
          <w:trHeight w:val="35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415A68"/>
          </w:tcPr>
          <w:p w14:paraId="077DA648" w14:textId="79587441" w:rsidR="00F04381" w:rsidRPr="00D402E5" w:rsidRDefault="00491BF9" w:rsidP="00F04381">
            <w:pPr>
              <w:shd w:val="clear" w:color="auto" w:fill="auto"/>
              <w:spacing w:before="0" w:after="0"/>
              <w:rPr>
                <w:color w:val="FFFFFF" w:themeColor="background1"/>
                <w:sz w:val="18"/>
                <w:szCs w:val="18"/>
              </w:rPr>
            </w:pPr>
            <w:r w:rsidRPr="00A77962">
              <w:rPr>
                <w:color w:val="FFFFFF" w:themeColor="background1"/>
                <w:sz w:val="18"/>
                <w:szCs w:val="18"/>
                <w:lang w:val="pt-BR"/>
              </w:rPr>
              <w:lastRenderedPageBreak/>
              <w:t>Capacidade do Governo</w:t>
            </w:r>
          </w:p>
        </w:tc>
      </w:tr>
      <w:tr w:rsidR="00F04381" w:rsidRPr="00D402E5" w14:paraId="3B3AB577" w14:textId="77777777" w:rsidTr="00201C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2"/>
          </w:tcPr>
          <w:p w14:paraId="6D2EE601" w14:textId="27A3CE8C" w:rsidR="00F04381" w:rsidRPr="00D402E5" w:rsidRDefault="00491BF9" w:rsidP="0020446A">
            <w:pPr>
              <w:shd w:val="clear" w:color="auto" w:fill="auto"/>
              <w:spacing w:before="0" w:after="0"/>
              <w:jc w:val="both"/>
              <w:rPr>
                <w:sz w:val="18"/>
                <w:szCs w:val="18"/>
              </w:rPr>
            </w:pPr>
            <w:r w:rsidRPr="00A77962">
              <w:rPr>
                <w:sz w:val="18"/>
                <w:szCs w:val="18"/>
                <w:lang w:val="pt-BR"/>
              </w:rPr>
              <w:t xml:space="preserve">Pontuação: </w:t>
            </w:r>
            <w:r w:rsidRPr="00A77962">
              <w:rPr>
                <w:b w:val="0"/>
                <w:bCs w:val="0"/>
                <w:sz w:val="18"/>
                <w:szCs w:val="18"/>
                <w:lang w:val="pt-BR"/>
              </w:rPr>
              <w:t>As definições qualitativas são usadas para avaliar a capacidade do governo, tanto em nível nacional quanto subnacional, para implementar leis e regulamentos relativos ao reconhecimento de direitos de posse com base na comunidade.</w:t>
            </w:r>
          </w:p>
        </w:tc>
      </w:tr>
      <w:tr w:rsidR="00F04381" w:rsidRPr="00D402E5" w14:paraId="4649957D" w14:textId="77777777" w:rsidTr="00201CB9">
        <w:trPr>
          <w:trHeight w:val="2843"/>
        </w:trPr>
        <w:tc>
          <w:tcPr>
            <w:cnfStyle w:val="001000000000" w:firstRow="0" w:lastRow="0" w:firstColumn="1" w:lastColumn="0" w:oddVBand="0" w:evenVBand="0" w:oddHBand="0" w:evenHBand="0" w:firstRowFirstColumn="0" w:firstRowLastColumn="0" w:lastRowFirstColumn="0" w:lastRowLastColumn="0"/>
            <w:tcW w:w="0" w:type="dxa"/>
          </w:tcPr>
          <w:p w14:paraId="56506EDF" w14:textId="77777777" w:rsidR="00F04381" w:rsidRPr="00D402E5" w:rsidRDefault="00F04381" w:rsidP="0020446A">
            <w:pPr>
              <w:shd w:val="clear" w:color="auto" w:fill="auto"/>
              <w:spacing w:before="0" w:after="0"/>
              <w:rPr>
                <w:sz w:val="18"/>
                <w:szCs w:val="18"/>
              </w:rPr>
            </w:pPr>
          </w:p>
        </w:tc>
        <w:tc>
          <w:tcPr>
            <w:tcW w:w="0" w:type="dxa"/>
          </w:tcPr>
          <w:p w14:paraId="79F382A5" w14:textId="77777777" w:rsidR="00491BF9" w:rsidRPr="00A77962" w:rsidRDefault="00491BF9" w:rsidP="00491BF9">
            <w:pPr>
              <w:pStyle w:val="ListParagraph"/>
              <w:numPr>
                <w:ilvl w:val="0"/>
                <w:numId w:val="5"/>
              </w:numPr>
              <w:shd w:val="clear" w:color="auto" w:fill="auto"/>
              <w:spacing w:before="0"/>
              <w:jc w:val="both"/>
              <w:cnfStyle w:val="000000000000" w:firstRow="0" w:lastRow="0" w:firstColumn="0" w:lastColumn="0" w:oddVBand="0" w:evenVBand="0" w:oddHBand="0" w:evenHBand="0" w:firstRowFirstColumn="0" w:firstRowLastColumn="0" w:lastRowFirstColumn="0" w:lastRowLastColumn="0"/>
              <w:rPr>
                <w:sz w:val="18"/>
                <w:szCs w:val="18"/>
                <w:lang w:val="pt-BR"/>
              </w:rPr>
            </w:pPr>
            <w:r w:rsidRPr="00A77962">
              <w:rPr>
                <w:b/>
                <w:bCs/>
                <w:sz w:val="18"/>
                <w:szCs w:val="18"/>
                <w:lang w:val="pt-BR"/>
              </w:rPr>
              <w:t>Adequado</w:t>
            </w:r>
            <w:r w:rsidRPr="00A77962">
              <w:rPr>
                <w:sz w:val="18"/>
                <w:szCs w:val="18"/>
                <w:lang w:val="pt-BR"/>
              </w:rPr>
              <w:t xml:space="preserve"> (2 pontos): O país tem uma unidade ou departamento designado com pessoal e recursos para apoiar a implementação de procedimentos administrativos associados à demarcação, titulação e registro de terras. </w:t>
            </w:r>
          </w:p>
          <w:p w14:paraId="0DE7E742" w14:textId="77777777" w:rsidR="00491BF9" w:rsidRPr="00A77962" w:rsidRDefault="00491BF9" w:rsidP="00491BF9">
            <w:pPr>
              <w:pStyle w:val="ListParagraph"/>
              <w:numPr>
                <w:ilvl w:val="0"/>
                <w:numId w:val="5"/>
              </w:numPr>
              <w:shd w:val="clear" w:color="auto" w:fill="auto"/>
              <w:spacing w:before="0"/>
              <w:jc w:val="both"/>
              <w:cnfStyle w:val="000000000000" w:firstRow="0" w:lastRow="0" w:firstColumn="0" w:lastColumn="0" w:oddVBand="0" w:evenVBand="0" w:oddHBand="0" w:evenHBand="0" w:firstRowFirstColumn="0" w:firstRowLastColumn="0" w:lastRowFirstColumn="0" w:lastRowLastColumn="0"/>
              <w:rPr>
                <w:sz w:val="18"/>
                <w:szCs w:val="18"/>
                <w:lang w:val="pt-BR"/>
              </w:rPr>
            </w:pPr>
            <w:r w:rsidRPr="00A77962">
              <w:rPr>
                <w:b/>
                <w:bCs/>
                <w:sz w:val="18"/>
                <w:szCs w:val="18"/>
                <w:lang w:val="pt-BR"/>
              </w:rPr>
              <w:t>Parcialmente Adequado</w:t>
            </w:r>
            <w:r w:rsidRPr="00A77962">
              <w:rPr>
                <w:sz w:val="18"/>
                <w:szCs w:val="18"/>
                <w:lang w:val="pt-BR"/>
              </w:rPr>
              <w:t xml:space="preserve"> (1 ponto): O país tem uma unidade ou departamento designado para apoiar a administração dos direitos fundiários, mas não possui as capacidades técnicas, requisitos procedimentais ou recursos financeiros necessários para implementar com eficácia as reformas de posse no terreno. </w:t>
            </w:r>
          </w:p>
          <w:p w14:paraId="5F5E78B5" w14:textId="149F976F" w:rsidR="00311B09" w:rsidRPr="008102C0" w:rsidRDefault="00491BF9" w:rsidP="00491BF9">
            <w:pPr>
              <w:pStyle w:val="ListParagraph"/>
              <w:numPr>
                <w:ilvl w:val="0"/>
                <w:numId w:val="5"/>
              </w:numPr>
              <w:shd w:val="clear" w:color="auto" w:fill="auto"/>
              <w:snapToGrid w:val="0"/>
              <w:spacing w:before="0" w:after="120"/>
              <w:contextualSpacing w:val="0"/>
              <w:jc w:val="both"/>
              <w:cnfStyle w:val="000000000000" w:firstRow="0" w:lastRow="0" w:firstColumn="0" w:lastColumn="0" w:oddVBand="0" w:evenVBand="0" w:oddHBand="0" w:evenHBand="0" w:firstRowFirstColumn="0" w:firstRowLastColumn="0" w:lastRowFirstColumn="0" w:lastRowLastColumn="0"/>
            </w:pPr>
            <w:r w:rsidRPr="00A77962">
              <w:rPr>
                <w:b/>
                <w:bCs/>
                <w:sz w:val="18"/>
                <w:szCs w:val="18"/>
                <w:lang w:val="pt-BR"/>
              </w:rPr>
              <w:t xml:space="preserve">Inadequado </w:t>
            </w:r>
            <w:r w:rsidRPr="00A77962">
              <w:rPr>
                <w:sz w:val="18"/>
                <w:szCs w:val="18"/>
                <w:lang w:val="pt-BR"/>
              </w:rPr>
              <w:t>(0 pontos): O país não tem os meios técnicos ou financeiros, nem a experiência prévia necessária na realização de processos complexos no terreno, para apoiar e implementar a reforma da posse.</w:t>
            </w:r>
          </w:p>
        </w:tc>
      </w:tr>
    </w:tbl>
    <w:tbl>
      <w:tblPr>
        <w:tblStyle w:val="TableGrid"/>
        <w:tblW w:w="0" w:type="auto"/>
        <w:tblLook w:val="04A0" w:firstRow="1" w:lastRow="0" w:firstColumn="1" w:lastColumn="0" w:noHBand="0" w:noVBand="1"/>
      </w:tblPr>
      <w:tblGrid>
        <w:gridCol w:w="445"/>
        <w:gridCol w:w="8905"/>
      </w:tblGrid>
      <w:tr w:rsidR="00D06C39" w:rsidRPr="004204BE" w14:paraId="0F621C9F" w14:textId="77777777" w:rsidTr="00D06C39">
        <w:tc>
          <w:tcPr>
            <w:tcW w:w="9350" w:type="dxa"/>
            <w:gridSpan w:val="2"/>
            <w:shd w:val="clear" w:color="auto" w:fill="415A68"/>
          </w:tcPr>
          <w:p w14:paraId="696629E5" w14:textId="4664AD24" w:rsidR="00D06C39" w:rsidRPr="00D402E5" w:rsidRDefault="00491BF9" w:rsidP="00D06C39">
            <w:pPr>
              <w:shd w:val="clear" w:color="auto" w:fill="auto"/>
              <w:spacing w:before="0" w:after="0"/>
              <w:rPr>
                <w:color w:val="FFFFFF" w:themeColor="background1"/>
                <w:sz w:val="18"/>
                <w:szCs w:val="18"/>
              </w:rPr>
            </w:pPr>
            <w:r w:rsidRPr="00A77962">
              <w:rPr>
                <w:b/>
                <w:bCs/>
                <w:color w:val="FFFFFF" w:themeColor="background1"/>
                <w:sz w:val="18"/>
                <w:szCs w:val="18"/>
                <w:lang w:val="pt-BR"/>
              </w:rPr>
              <w:t>Capacidade do</w:t>
            </w:r>
            <w:r>
              <w:rPr>
                <w:b/>
                <w:bCs/>
                <w:color w:val="FFFFFF" w:themeColor="background1"/>
                <w:sz w:val="18"/>
                <w:szCs w:val="18"/>
                <w:lang w:val="pt-BR"/>
              </w:rPr>
              <w:t>s</w:t>
            </w:r>
            <w:r w:rsidRPr="00A77962">
              <w:rPr>
                <w:b/>
                <w:bCs/>
                <w:color w:val="FFFFFF" w:themeColor="background1"/>
                <w:sz w:val="18"/>
                <w:szCs w:val="18"/>
                <w:lang w:val="pt-BR"/>
              </w:rPr>
              <w:t xml:space="preserve"> </w:t>
            </w:r>
            <w:r>
              <w:rPr>
                <w:b/>
                <w:bCs/>
                <w:color w:val="FFFFFF" w:themeColor="background1"/>
                <w:sz w:val="18"/>
                <w:szCs w:val="18"/>
                <w:lang w:val="pt-BR"/>
              </w:rPr>
              <w:t>T</w:t>
            </w:r>
            <w:r w:rsidRPr="00A77962">
              <w:rPr>
                <w:b/>
                <w:bCs/>
                <w:color w:val="FFFFFF" w:themeColor="background1"/>
                <w:sz w:val="18"/>
                <w:szCs w:val="18"/>
                <w:lang w:val="pt-BR"/>
              </w:rPr>
              <w:t>itular</w:t>
            </w:r>
            <w:r>
              <w:rPr>
                <w:b/>
                <w:bCs/>
                <w:color w:val="FFFFFF" w:themeColor="background1"/>
                <w:sz w:val="18"/>
                <w:szCs w:val="18"/>
                <w:lang w:val="pt-BR"/>
              </w:rPr>
              <w:t>es</w:t>
            </w:r>
            <w:r w:rsidRPr="00A77962">
              <w:rPr>
                <w:b/>
                <w:bCs/>
                <w:color w:val="FFFFFF" w:themeColor="background1"/>
                <w:sz w:val="18"/>
                <w:szCs w:val="18"/>
                <w:lang w:val="pt-BR"/>
              </w:rPr>
              <w:t xml:space="preserve"> d</w:t>
            </w:r>
            <w:r>
              <w:rPr>
                <w:b/>
                <w:bCs/>
                <w:color w:val="FFFFFF" w:themeColor="background1"/>
                <w:sz w:val="18"/>
                <w:szCs w:val="18"/>
                <w:lang w:val="pt-BR"/>
              </w:rPr>
              <w:t>e</w:t>
            </w:r>
            <w:r w:rsidRPr="00A77962">
              <w:rPr>
                <w:b/>
                <w:bCs/>
                <w:color w:val="FFFFFF" w:themeColor="background1"/>
                <w:sz w:val="18"/>
                <w:szCs w:val="18"/>
                <w:lang w:val="pt-BR"/>
              </w:rPr>
              <w:t xml:space="preserve"> </w:t>
            </w:r>
            <w:r>
              <w:rPr>
                <w:b/>
                <w:bCs/>
                <w:color w:val="FFFFFF" w:themeColor="background1"/>
                <w:sz w:val="18"/>
                <w:szCs w:val="18"/>
                <w:lang w:val="pt-BR"/>
              </w:rPr>
              <w:t>D</w:t>
            </w:r>
            <w:r w:rsidRPr="00A77962">
              <w:rPr>
                <w:b/>
                <w:bCs/>
                <w:color w:val="FFFFFF" w:themeColor="background1"/>
                <w:sz w:val="18"/>
                <w:szCs w:val="18"/>
                <w:lang w:val="pt-BR"/>
              </w:rPr>
              <w:t>ireitos e da OSC</w:t>
            </w:r>
          </w:p>
        </w:tc>
      </w:tr>
      <w:tr w:rsidR="00D06C39" w14:paraId="4BD688C9" w14:textId="77777777" w:rsidTr="00D06C39">
        <w:tc>
          <w:tcPr>
            <w:tcW w:w="9350" w:type="dxa"/>
            <w:gridSpan w:val="2"/>
            <w:shd w:val="clear" w:color="auto" w:fill="DCE6ED"/>
          </w:tcPr>
          <w:p w14:paraId="41F0BEDA" w14:textId="71579F12" w:rsidR="00D06C39" w:rsidRPr="00D402E5" w:rsidRDefault="00491BF9" w:rsidP="00D06C39">
            <w:pPr>
              <w:shd w:val="clear" w:color="auto" w:fill="auto"/>
              <w:spacing w:before="0" w:after="0"/>
              <w:jc w:val="both"/>
              <w:rPr>
                <w:sz w:val="18"/>
                <w:szCs w:val="18"/>
              </w:rPr>
            </w:pPr>
            <w:r w:rsidRPr="00A77962">
              <w:rPr>
                <w:b/>
                <w:bCs/>
                <w:sz w:val="18"/>
                <w:szCs w:val="18"/>
                <w:lang w:val="pt-BR"/>
              </w:rPr>
              <w:t xml:space="preserve">Pontuação: </w:t>
            </w:r>
            <w:r w:rsidRPr="00A77962">
              <w:rPr>
                <w:sz w:val="18"/>
                <w:szCs w:val="18"/>
                <w:lang w:val="pt-BR"/>
              </w:rPr>
              <w:t>As definições qualitativas são usadas para avaliar a capacidade dos detentores de direitos e das organizações da sociedade civil (OSC) em ambos os níveis, nacional e subnacional, para apoiar a implementação de leis e regulamentos relativos ao reconhecimento dos direitos de posse com base na comunidade.</w:t>
            </w:r>
          </w:p>
        </w:tc>
      </w:tr>
      <w:tr w:rsidR="00D06C39" w14:paraId="705F584F" w14:textId="77777777" w:rsidTr="0020446A">
        <w:tc>
          <w:tcPr>
            <w:tcW w:w="445" w:type="dxa"/>
          </w:tcPr>
          <w:p w14:paraId="004A6DD3" w14:textId="77777777" w:rsidR="00D06C39" w:rsidRPr="00D402E5" w:rsidRDefault="00D06C39" w:rsidP="0020446A">
            <w:pPr>
              <w:rPr>
                <w:sz w:val="18"/>
                <w:szCs w:val="18"/>
              </w:rPr>
            </w:pPr>
          </w:p>
        </w:tc>
        <w:tc>
          <w:tcPr>
            <w:tcW w:w="8905" w:type="dxa"/>
          </w:tcPr>
          <w:p w14:paraId="1930E95A" w14:textId="77777777" w:rsidR="00491BF9" w:rsidRPr="00A77962" w:rsidRDefault="00491BF9" w:rsidP="00491BF9">
            <w:pPr>
              <w:pStyle w:val="ListParagraph"/>
              <w:numPr>
                <w:ilvl w:val="0"/>
                <w:numId w:val="9"/>
              </w:numPr>
              <w:shd w:val="clear" w:color="auto" w:fill="auto"/>
              <w:spacing w:before="0"/>
              <w:ind w:left="336"/>
              <w:jc w:val="both"/>
              <w:rPr>
                <w:sz w:val="18"/>
                <w:szCs w:val="18"/>
                <w:lang w:val="pt-BR"/>
              </w:rPr>
            </w:pPr>
            <w:r w:rsidRPr="00A77962">
              <w:rPr>
                <w:b/>
                <w:bCs/>
                <w:sz w:val="18"/>
                <w:szCs w:val="18"/>
                <w:lang w:val="pt-BR"/>
              </w:rPr>
              <w:t>Adequado</w:t>
            </w:r>
            <w:r w:rsidRPr="00A77962">
              <w:rPr>
                <w:sz w:val="18"/>
                <w:szCs w:val="18"/>
                <w:lang w:val="pt-BR"/>
              </w:rPr>
              <w:t xml:space="preserve"> (2 pontos): OSC locais, organizações de detentores de direitos e seus aliados são organizados e coordenados em suas ações; e ter as capacidades técnicas necessárias para apoiar os procedimentos de mapeamento e titulação. </w:t>
            </w:r>
          </w:p>
          <w:p w14:paraId="0474D806" w14:textId="77777777" w:rsidR="00491BF9" w:rsidRPr="00A77962" w:rsidRDefault="00491BF9" w:rsidP="00491BF9">
            <w:pPr>
              <w:pStyle w:val="ListParagraph"/>
              <w:numPr>
                <w:ilvl w:val="0"/>
                <w:numId w:val="9"/>
              </w:numPr>
              <w:shd w:val="clear" w:color="auto" w:fill="auto"/>
              <w:spacing w:before="0"/>
              <w:ind w:left="336"/>
              <w:jc w:val="both"/>
              <w:rPr>
                <w:sz w:val="18"/>
                <w:szCs w:val="18"/>
                <w:lang w:val="pt-BR"/>
              </w:rPr>
            </w:pPr>
            <w:r w:rsidRPr="00A77962">
              <w:rPr>
                <w:b/>
                <w:bCs/>
                <w:sz w:val="18"/>
                <w:szCs w:val="18"/>
                <w:lang w:val="pt-BR"/>
              </w:rPr>
              <w:t xml:space="preserve">Parcialmente Adequado </w:t>
            </w:r>
            <w:r w:rsidRPr="00A77962">
              <w:rPr>
                <w:sz w:val="18"/>
                <w:szCs w:val="18"/>
                <w:lang w:val="pt-BR"/>
              </w:rPr>
              <w:t xml:space="preserve">(1 ponto): </w:t>
            </w:r>
            <w:r>
              <w:rPr>
                <w:sz w:val="18"/>
                <w:szCs w:val="18"/>
                <w:lang w:val="pt-BR"/>
              </w:rPr>
              <w:t>OSC</w:t>
            </w:r>
            <w:r w:rsidRPr="00A77962">
              <w:rPr>
                <w:sz w:val="18"/>
                <w:szCs w:val="18"/>
                <w:lang w:val="pt-BR"/>
              </w:rPr>
              <w:t xml:space="preserve"> locais, organizações de detentores de direitos e seus aliados são organizados e coordenados em suas ações, mas carecem de um envolvimento efetivo com entidades governamentais responsáveis ​​ou das habilidades técnicas ou recursos necessários para cumprir todos os requisitos de titulação. </w:t>
            </w:r>
          </w:p>
          <w:p w14:paraId="5333415C" w14:textId="119005BF" w:rsidR="00D06C39" w:rsidRPr="00D402E5" w:rsidRDefault="00491BF9" w:rsidP="00491BF9">
            <w:pPr>
              <w:pStyle w:val="ListParagraph"/>
              <w:numPr>
                <w:ilvl w:val="0"/>
                <w:numId w:val="9"/>
              </w:numPr>
              <w:shd w:val="clear" w:color="auto" w:fill="auto"/>
              <w:spacing w:before="0"/>
              <w:ind w:left="336"/>
              <w:jc w:val="both"/>
              <w:rPr>
                <w:sz w:val="18"/>
                <w:szCs w:val="18"/>
              </w:rPr>
            </w:pPr>
            <w:r w:rsidRPr="00A77962">
              <w:rPr>
                <w:b/>
                <w:bCs/>
                <w:sz w:val="18"/>
                <w:szCs w:val="18"/>
                <w:lang w:val="pt-BR"/>
              </w:rPr>
              <w:t xml:space="preserve">Inadequado </w:t>
            </w:r>
            <w:r w:rsidRPr="00A77962">
              <w:rPr>
                <w:sz w:val="18"/>
                <w:szCs w:val="18"/>
                <w:lang w:val="pt-BR"/>
              </w:rPr>
              <w:t xml:space="preserve">(0 pontos): </w:t>
            </w:r>
            <w:r>
              <w:rPr>
                <w:sz w:val="18"/>
                <w:szCs w:val="18"/>
                <w:lang w:val="pt-BR"/>
              </w:rPr>
              <w:t>OSC</w:t>
            </w:r>
            <w:r w:rsidRPr="00A77962">
              <w:rPr>
                <w:sz w:val="18"/>
                <w:szCs w:val="18"/>
                <w:lang w:val="pt-BR"/>
              </w:rPr>
              <w:t xml:space="preserve"> locais, organizações de detentores de direitos e seus aliados não têm capacidade técnica, experiência ou recursos necessários para apoiar o reconhecimento legal de seus direitos à terra e aos recursos.</w:t>
            </w:r>
          </w:p>
        </w:tc>
      </w:tr>
    </w:tbl>
    <w:p w14:paraId="3E2CCA85" w14:textId="61E6933C" w:rsidR="00D06C39" w:rsidRDefault="00491BF9" w:rsidP="00D06C39">
      <w:pPr>
        <w:jc w:val="both"/>
      </w:pPr>
      <w:r w:rsidRPr="00A77962">
        <w:rPr>
          <w:lang w:val="pt-BR"/>
        </w:rPr>
        <w:t>As pontuações de avaliação possíveis para cada componente de prontidão também estão resumidas na Tabela 2. Os componentes de prontidão são ponderados para refletir a importância desproporcional das estruturas jurídicas e a disposição do governo nacional em criar ambientes de apoio para o avanço e implementação de reformas de posse.</w:t>
      </w:r>
    </w:p>
    <w:p w14:paraId="567159F7" w14:textId="25EB31A1" w:rsidR="00BA5AC0" w:rsidRPr="00997E72" w:rsidRDefault="00491BF9" w:rsidP="00DA002E">
      <w:pPr>
        <w:pStyle w:val="Heading3"/>
      </w:pPr>
      <w:bookmarkStart w:id="6" w:name="_Toc103764060"/>
      <w:r w:rsidRPr="00A77962">
        <w:rPr>
          <w:lang w:val="pt-BR"/>
        </w:rPr>
        <w:t>Tabela 2. Pontuações de avaliação para cada componente de prontidão</w:t>
      </w:r>
      <w:bookmarkEnd w:id="6"/>
    </w:p>
    <w:tbl>
      <w:tblPr>
        <w:tblStyle w:val="RRI"/>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6"/>
        <w:gridCol w:w="2623"/>
        <w:gridCol w:w="2129"/>
      </w:tblGrid>
      <w:tr w:rsidR="00BA5AC0" w14:paraId="27A3A9C2" w14:textId="0F690893" w:rsidTr="00491BF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59533C4" w14:textId="484CB79A" w:rsidR="00BA5AC0" w:rsidRPr="00EC702B" w:rsidRDefault="00BA5AC0" w:rsidP="00EC702B">
            <w:pPr>
              <w:shd w:val="clear" w:color="auto" w:fill="auto"/>
              <w:spacing w:before="0" w:after="0" w:line="240" w:lineRule="auto"/>
              <w:rPr>
                <w:b w:val="0"/>
                <w:bCs w:val="0"/>
                <w:color w:val="FFFFFF" w:themeColor="background1"/>
              </w:rPr>
            </w:pPr>
            <w:bookmarkStart w:id="7" w:name="_Hlk88479818"/>
          </w:p>
        </w:tc>
        <w:tc>
          <w:tcPr>
            <w:tcW w:w="237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7EFDAA4" w14:textId="386734C0" w:rsidR="00BA5AC0" w:rsidRPr="00997E72" w:rsidRDefault="00491BF9" w:rsidP="00EC702B">
            <w:pPr>
              <w:shd w:val="clear" w:color="auto" w:fill="auto"/>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77962">
              <w:rPr>
                <w:color w:val="FFFFFF" w:themeColor="background1"/>
                <w:lang w:val="pt-BR"/>
              </w:rPr>
              <w:t>Adequado</w:t>
            </w:r>
          </w:p>
        </w:tc>
        <w:tc>
          <w:tcPr>
            <w:tcW w:w="262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9894D5E" w14:textId="37C9AE94" w:rsidR="00BA5AC0" w:rsidRPr="00997E72" w:rsidRDefault="00491BF9" w:rsidP="00EC702B">
            <w:pPr>
              <w:shd w:val="clear" w:color="auto" w:fill="auto"/>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77962">
              <w:rPr>
                <w:color w:val="FFFFFF" w:themeColor="background1"/>
                <w:lang w:val="pt-BR"/>
              </w:rPr>
              <w:t>Parcialmente Adequado</w:t>
            </w:r>
          </w:p>
        </w:tc>
        <w:tc>
          <w:tcPr>
            <w:tcW w:w="21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B7AB8FB" w14:textId="49435887" w:rsidR="00BA5AC0" w:rsidRPr="00997E72" w:rsidRDefault="00491BF9" w:rsidP="00EC702B">
            <w:pPr>
              <w:shd w:val="clear" w:color="auto" w:fill="auto"/>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77962">
              <w:rPr>
                <w:color w:val="FFFFFF" w:themeColor="background1"/>
                <w:lang w:val="pt-BR"/>
              </w:rPr>
              <w:t>Inadequado</w:t>
            </w:r>
          </w:p>
        </w:tc>
      </w:tr>
      <w:tr w:rsidR="00BA5AC0" w:rsidRPr="00D402E5" w14:paraId="213F2CAD" w14:textId="3E175D42" w:rsidTr="00491B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14:paraId="4CB44BB2" w14:textId="74BC1DF9" w:rsidR="00BA5AC0" w:rsidRPr="00D402E5" w:rsidRDefault="00BA5AC0" w:rsidP="00D402E5">
            <w:pPr>
              <w:shd w:val="clear" w:color="auto" w:fill="auto"/>
              <w:spacing w:before="0" w:after="0" w:line="240" w:lineRule="auto"/>
              <w:rPr>
                <w:b w:val="0"/>
                <w:bCs w:val="0"/>
                <w:sz w:val="18"/>
                <w:szCs w:val="18"/>
              </w:rPr>
            </w:pPr>
          </w:p>
        </w:tc>
        <w:tc>
          <w:tcPr>
            <w:tcW w:w="2376" w:type="dxa"/>
            <w:shd w:val="clear" w:color="auto" w:fill="49A178"/>
            <w:vAlign w:val="center"/>
          </w:tcPr>
          <w:p w14:paraId="3BC8CBCC" w14:textId="15017A43" w:rsidR="00BA5AC0" w:rsidRPr="00D402E5" w:rsidRDefault="00BA5AC0"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23" w:type="dxa"/>
            <w:shd w:val="clear" w:color="auto" w:fill="AFD08D"/>
            <w:vAlign w:val="center"/>
          </w:tcPr>
          <w:p w14:paraId="4DCEE99A" w14:textId="77777777" w:rsidR="00BA5AC0" w:rsidRPr="00D402E5" w:rsidRDefault="00BA5AC0"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129" w:type="dxa"/>
            <w:shd w:val="clear" w:color="auto" w:fill="FFD966" w:themeFill="accent4" w:themeFillTint="99"/>
            <w:vAlign w:val="center"/>
          </w:tcPr>
          <w:p w14:paraId="21619248" w14:textId="77777777" w:rsidR="00BA5AC0" w:rsidRPr="00D402E5" w:rsidRDefault="00BA5AC0"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A5AC0" w:rsidRPr="00D402E5" w14:paraId="6C1B1F02" w14:textId="37359DD0" w:rsidTr="00491BF9">
        <w:trPr>
          <w:trHeight w:val="28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0FA19AFA" w14:textId="35B4B0C9" w:rsidR="00BA5AC0" w:rsidRPr="00D402E5" w:rsidRDefault="00491BF9" w:rsidP="00D402E5">
            <w:pPr>
              <w:shd w:val="clear" w:color="auto" w:fill="auto"/>
              <w:spacing w:before="0" w:after="0" w:line="240" w:lineRule="auto"/>
              <w:rPr>
                <w:b w:val="0"/>
                <w:bCs w:val="0"/>
                <w:sz w:val="18"/>
                <w:szCs w:val="18"/>
              </w:rPr>
            </w:pPr>
            <w:r w:rsidRPr="00A77962">
              <w:rPr>
                <w:b w:val="0"/>
                <w:bCs w:val="0"/>
                <w:sz w:val="18"/>
                <w:szCs w:val="18"/>
                <w:lang w:val="pt-BR"/>
              </w:rPr>
              <w:t>Enquadramento Jurídico</w:t>
            </w:r>
          </w:p>
        </w:tc>
        <w:tc>
          <w:tcPr>
            <w:tcW w:w="2376" w:type="dxa"/>
            <w:vAlign w:val="center"/>
          </w:tcPr>
          <w:p w14:paraId="45C33027" w14:textId="61D74F15" w:rsidR="00BA5AC0" w:rsidRPr="00D402E5" w:rsidRDefault="00EC702B"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402E5">
              <w:rPr>
                <w:sz w:val="18"/>
                <w:szCs w:val="18"/>
              </w:rPr>
              <w:t>5</w:t>
            </w:r>
          </w:p>
        </w:tc>
        <w:tc>
          <w:tcPr>
            <w:tcW w:w="2623" w:type="dxa"/>
            <w:vAlign w:val="center"/>
          </w:tcPr>
          <w:p w14:paraId="002754EF" w14:textId="40C83B7E" w:rsidR="00BA5AC0" w:rsidRPr="00D402E5" w:rsidRDefault="00EC702B"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402E5">
              <w:rPr>
                <w:sz w:val="18"/>
                <w:szCs w:val="18"/>
              </w:rPr>
              <w:t>3</w:t>
            </w:r>
          </w:p>
        </w:tc>
        <w:tc>
          <w:tcPr>
            <w:tcW w:w="2129" w:type="dxa"/>
            <w:vAlign w:val="center"/>
          </w:tcPr>
          <w:p w14:paraId="1EF3FD3F" w14:textId="5C9F3A0C" w:rsidR="00BA5AC0" w:rsidRPr="00D402E5" w:rsidRDefault="00EC702B"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402E5">
              <w:rPr>
                <w:sz w:val="18"/>
                <w:szCs w:val="18"/>
              </w:rPr>
              <w:t>0</w:t>
            </w:r>
          </w:p>
        </w:tc>
      </w:tr>
      <w:tr w:rsidR="00BA5AC0" w:rsidRPr="00D402E5" w14:paraId="4105AD45" w14:textId="114714B5" w:rsidTr="00491B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14:paraId="67817D92" w14:textId="0BEB7F1D" w:rsidR="00BA5AC0" w:rsidRPr="00D402E5" w:rsidRDefault="002453AC" w:rsidP="00D402E5">
            <w:pPr>
              <w:shd w:val="clear" w:color="auto" w:fill="auto"/>
              <w:spacing w:before="0" w:after="0" w:line="240" w:lineRule="auto"/>
              <w:rPr>
                <w:b w:val="0"/>
                <w:bCs w:val="0"/>
                <w:sz w:val="18"/>
                <w:szCs w:val="18"/>
              </w:rPr>
            </w:pPr>
            <w:r>
              <w:rPr>
                <w:b w:val="0"/>
                <w:bCs w:val="0"/>
                <w:sz w:val="18"/>
                <w:szCs w:val="18"/>
                <w:lang w:val="pt-BR"/>
              </w:rPr>
              <w:t>Disposição</w:t>
            </w:r>
            <w:r w:rsidRPr="00A77962">
              <w:rPr>
                <w:b w:val="0"/>
                <w:bCs w:val="0"/>
                <w:sz w:val="18"/>
                <w:szCs w:val="18"/>
                <w:lang w:val="pt-BR"/>
              </w:rPr>
              <w:t xml:space="preserve"> do Governo Nacional</w:t>
            </w:r>
          </w:p>
        </w:tc>
        <w:tc>
          <w:tcPr>
            <w:tcW w:w="2376" w:type="dxa"/>
            <w:shd w:val="clear" w:color="auto" w:fill="FFFFFF" w:themeFill="background1"/>
            <w:vAlign w:val="center"/>
          </w:tcPr>
          <w:p w14:paraId="6DBB2EF7" w14:textId="72FD5988" w:rsidR="00BA5AC0" w:rsidRPr="00D402E5" w:rsidRDefault="002453AC"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 xml:space="preserve">4 (ou 6, onde a </w:t>
            </w:r>
            <w:r>
              <w:rPr>
                <w:sz w:val="18"/>
                <w:szCs w:val="18"/>
                <w:lang w:val="pt-BR"/>
              </w:rPr>
              <w:t>disposição</w:t>
            </w:r>
            <w:r w:rsidRPr="00A77962">
              <w:rPr>
                <w:sz w:val="18"/>
                <w:szCs w:val="18"/>
                <w:lang w:val="pt-BR"/>
              </w:rPr>
              <w:t xml:space="preserve"> do governo subnacional não é avaliada)</w:t>
            </w:r>
          </w:p>
        </w:tc>
        <w:tc>
          <w:tcPr>
            <w:tcW w:w="2623" w:type="dxa"/>
            <w:shd w:val="clear" w:color="auto" w:fill="FFFFFF" w:themeFill="background1"/>
            <w:vAlign w:val="center"/>
          </w:tcPr>
          <w:p w14:paraId="01079CBD" w14:textId="5838FFDE" w:rsidR="00BA5AC0" w:rsidRPr="00D402E5" w:rsidRDefault="002453AC"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 xml:space="preserve">2 (ou 3, onde a </w:t>
            </w:r>
            <w:r>
              <w:rPr>
                <w:sz w:val="18"/>
                <w:szCs w:val="18"/>
                <w:lang w:val="pt-BR"/>
              </w:rPr>
              <w:t>disposição</w:t>
            </w:r>
            <w:r w:rsidRPr="00A77962">
              <w:rPr>
                <w:sz w:val="18"/>
                <w:szCs w:val="18"/>
                <w:lang w:val="pt-BR"/>
              </w:rPr>
              <w:t xml:space="preserve"> do governo subnacional não é avaliada)</w:t>
            </w:r>
          </w:p>
        </w:tc>
        <w:tc>
          <w:tcPr>
            <w:tcW w:w="2129" w:type="dxa"/>
            <w:shd w:val="clear" w:color="auto" w:fill="FFFFFF" w:themeFill="background1"/>
            <w:vAlign w:val="center"/>
          </w:tcPr>
          <w:p w14:paraId="6EF22DC8" w14:textId="77228A58" w:rsidR="00BA5AC0" w:rsidRPr="00D402E5" w:rsidRDefault="00D402E5"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BA5AC0" w:rsidRPr="00D402E5" w14:paraId="37B576C8" w14:textId="5BD33D2D" w:rsidTr="00491BF9">
        <w:tc>
          <w:tcPr>
            <w:cnfStyle w:val="001000000000" w:firstRow="0" w:lastRow="0" w:firstColumn="1" w:lastColumn="0" w:oddVBand="0" w:evenVBand="0" w:oddHBand="0" w:evenHBand="0" w:firstRowFirstColumn="0" w:firstRowLastColumn="0" w:lastRowFirstColumn="0" w:lastRowLastColumn="0"/>
            <w:tcW w:w="2376" w:type="dxa"/>
            <w:vAlign w:val="center"/>
          </w:tcPr>
          <w:p w14:paraId="11D50D81" w14:textId="37EB19F8" w:rsidR="00BA5AC0" w:rsidRPr="00D402E5" w:rsidRDefault="002453AC" w:rsidP="00D402E5">
            <w:pPr>
              <w:shd w:val="clear" w:color="auto" w:fill="auto"/>
              <w:spacing w:before="0" w:after="0" w:line="240" w:lineRule="auto"/>
              <w:rPr>
                <w:b w:val="0"/>
                <w:bCs w:val="0"/>
                <w:sz w:val="18"/>
                <w:szCs w:val="18"/>
              </w:rPr>
            </w:pPr>
            <w:r>
              <w:rPr>
                <w:b w:val="0"/>
                <w:bCs w:val="0"/>
                <w:sz w:val="18"/>
                <w:szCs w:val="18"/>
                <w:lang w:val="pt-BR"/>
              </w:rPr>
              <w:t>Disposição</w:t>
            </w:r>
            <w:r w:rsidRPr="00A77962">
              <w:rPr>
                <w:b w:val="0"/>
                <w:bCs w:val="0"/>
                <w:sz w:val="18"/>
                <w:szCs w:val="18"/>
                <w:lang w:val="pt-BR"/>
              </w:rPr>
              <w:t xml:space="preserve"> do Governo Subnacional</w:t>
            </w:r>
          </w:p>
        </w:tc>
        <w:tc>
          <w:tcPr>
            <w:tcW w:w="2376" w:type="dxa"/>
            <w:vAlign w:val="center"/>
          </w:tcPr>
          <w:p w14:paraId="3573D4BF" w14:textId="7A53DBAB" w:rsidR="00BA5AC0" w:rsidRPr="00D402E5" w:rsidRDefault="00D402E5"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2623" w:type="dxa"/>
            <w:vAlign w:val="center"/>
          </w:tcPr>
          <w:p w14:paraId="622DACF0" w14:textId="7E1F34CA" w:rsidR="00BA5AC0" w:rsidRPr="00D402E5" w:rsidRDefault="00D402E5"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2129" w:type="dxa"/>
            <w:vAlign w:val="center"/>
          </w:tcPr>
          <w:p w14:paraId="51DEDA5D" w14:textId="0322413E" w:rsidR="00BA5AC0" w:rsidRPr="00D402E5" w:rsidRDefault="00D402E5"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D402E5" w:rsidRPr="00D402E5" w14:paraId="09B90C4C" w14:textId="6D6BF4A7" w:rsidTr="00491B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479AB6DD" w14:textId="5FC6AEAD" w:rsidR="00D402E5" w:rsidRPr="00D402E5" w:rsidRDefault="002453AC" w:rsidP="00D402E5">
            <w:pPr>
              <w:shd w:val="clear" w:color="auto" w:fill="auto"/>
              <w:spacing w:before="0" w:after="0" w:line="240" w:lineRule="auto"/>
              <w:rPr>
                <w:b w:val="0"/>
                <w:bCs w:val="0"/>
                <w:sz w:val="18"/>
                <w:szCs w:val="18"/>
              </w:rPr>
            </w:pPr>
            <w:r w:rsidRPr="00A77962">
              <w:rPr>
                <w:b w:val="0"/>
                <w:bCs w:val="0"/>
                <w:sz w:val="18"/>
                <w:szCs w:val="18"/>
                <w:lang w:val="pt-BR"/>
              </w:rPr>
              <w:t>Capacidade do Governo</w:t>
            </w:r>
          </w:p>
        </w:tc>
        <w:tc>
          <w:tcPr>
            <w:tcW w:w="2376" w:type="dxa"/>
            <w:shd w:val="clear" w:color="auto" w:fill="FFFFFF" w:themeFill="background1"/>
            <w:vAlign w:val="center"/>
          </w:tcPr>
          <w:p w14:paraId="15661ED2" w14:textId="51D82A49" w:rsidR="00D402E5" w:rsidRPr="00D402E5" w:rsidRDefault="00D402E5"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2623" w:type="dxa"/>
            <w:shd w:val="clear" w:color="auto" w:fill="FFFFFF" w:themeFill="background1"/>
            <w:vAlign w:val="center"/>
          </w:tcPr>
          <w:p w14:paraId="5D52DF8E" w14:textId="0E392B63" w:rsidR="00D402E5" w:rsidRPr="00D402E5" w:rsidRDefault="00D402E5"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2129" w:type="dxa"/>
            <w:shd w:val="clear" w:color="auto" w:fill="FFFFFF" w:themeFill="background1"/>
            <w:vAlign w:val="center"/>
          </w:tcPr>
          <w:p w14:paraId="6195A6D3" w14:textId="542D90F5" w:rsidR="00D402E5" w:rsidRPr="00D402E5" w:rsidRDefault="00D402E5" w:rsidP="00D402E5">
            <w:pPr>
              <w:shd w:val="clear" w:color="auto" w:fill="auto"/>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D402E5" w:rsidRPr="00D402E5" w14:paraId="79DA24F1" w14:textId="77777777" w:rsidTr="00491BF9">
        <w:trPr>
          <w:trHeight w:val="288"/>
        </w:trPr>
        <w:tc>
          <w:tcPr>
            <w:cnfStyle w:val="001000000000" w:firstRow="0" w:lastRow="0" w:firstColumn="1" w:lastColumn="0" w:oddVBand="0" w:evenVBand="0" w:oddHBand="0" w:evenHBand="0" w:firstRowFirstColumn="0" w:firstRowLastColumn="0" w:lastRowFirstColumn="0" w:lastRowLastColumn="0"/>
            <w:tcW w:w="2376" w:type="dxa"/>
          </w:tcPr>
          <w:p w14:paraId="0E7D6097" w14:textId="31EC64D6" w:rsidR="00D402E5" w:rsidRPr="00D402E5" w:rsidRDefault="002453AC" w:rsidP="00D402E5">
            <w:pPr>
              <w:shd w:val="clear" w:color="auto" w:fill="auto"/>
              <w:spacing w:before="0" w:after="0" w:line="240" w:lineRule="auto"/>
              <w:rPr>
                <w:b w:val="0"/>
                <w:bCs w:val="0"/>
                <w:sz w:val="18"/>
                <w:szCs w:val="18"/>
              </w:rPr>
            </w:pPr>
            <w:r w:rsidRPr="00A77962">
              <w:rPr>
                <w:b w:val="0"/>
                <w:bCs w:val="0"/>
                <w:sz w:val="18"/>
                <w:szCs w:val="18"/>
                <w:lang w:val="pt-BR"/>
              </w:rPr>
              <w:t>Capacidade dos Titulares d</w:t>
            </w:r>
            <w:r>
              <w:rPr>
                <w:b w:val="0"/>
                <w:bCs w:val="0"/>
                <w:sz w:val="18"/>
                <w:szCs w:val="18"/>
                <w:lang w:val="pt-BR"/>
              </w:rPr>
              <w:t>e</w:t>
            </w:r>
            <w:r w:rsidRPr="00A77962">
              <w:rPr>
                <w:b w:val="0"/>
                <w:bCs w:val="0"/>
                <w:sz w:val="18"/>
                <w:szCs w:val="18"/>
                <w:lang w:val="pt-BR"/>
              </w:rPr>
              <w:t xml:space="preserve"> Direitos e da Sociedade Civil</w:t>
            </w:r>
          </w:p>
        </w:tc>
        <w:tc>
          <w:tcPr>
            <w:tcW w:w="2376" w:type="dxa"/>
            <w:vAlign w:val="center"/>
          </w:tcPr>
          <w:p w14:paraId="7AEF32D4" w14:textId="7FF0BEE4" w:rsidR="00D402E5" w:rsidRPr="00D402E5" w:rsidRDefault="00D402E5"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2623" w:type="dxa"/>
            <w:vAlign w:val="center"/>
          </w:tcPr>
          <w:p w14:paraId="457DF523" w14:textId="42422E23" w:rsidR="00D402E5" w:rsidRPr="00D402E5" w:rsidRDefault="00D402E5"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2129" w:type="dxa"/>
            <w:vAlign w:val="center"/>
          </w:tcPr>
          <w:p w14:paraId="0C321EF4" w14:textId="731EF200" w:rsidR="00D402E5" w:rsidRPr="00D402E5" w:rsidRDefault="00D402E5" w:rsidP="00D402E5">
            <w:pPr>
              <w:shd w:val="clear" w:color="auto" w:fill="auto"/>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bl>
    <w:bookmarkEnd w:id="7"/>
    <w:p w14:paraId="7861CE4C" w14:textId="6D825564" w:rsidR="00D402E5" w:rsidRDefault="002453AC" w:rsidP="00BA5AC0">
      <w:r w:rsidRPr="00A77962">
        <w:rPr>
          <w:lang w:val="pt-BR"/>
        </w:rPr>
        <w:t>Quando somadas, as pontuações gerais fornecem uma indicação da prontidão de cada país para decretar e implementar reformas de posse da floresta.</w:t>
      </w:r>
    </w:p>
    <w:p w14:paraId="6498AC33" w14:textId="72FFCB9B" w:rsidR="008168E6" w:rsidRPr="00997E72" w:rsidRDefault="002453AC" w:rsidP="00DA002E">
      <w:pPr>
        <w:pStyle w:val="Heading3"/>
      </w:pPr>
      <w:bookmarkStart w:id="8" w:name="_Toc103764061"/>
      <w:r w:rsidRPr="00A77962">
        <w:rPr>
          <w:lang w:val="pt-BR"/>
        </w:rPr>
        <w:t>Tabela 3. Status geral de prontidão</w:t>
      </w:r>
      <w:bookmarkEnd w:id="8"/>
    </w:p>
    <w:tbl>
      <w:tblPr>
        <w:tblStyle w:val="RRI"/>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68"/>
        <w:gridCol w:w="3168"/>
      </w:tblGrid>
      <w:tr w:rsidR="008168E6" w:rsidRPr="00D76530" w14:paraId="165DBC28" w14:textId="2439AD49" w:rsidTr="00D7653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01309CD" w14:textId="49DC9D37" w:rsidR="008168E6" w:rsidRPr="00D76530" w:rsidRDefault="002453AC" w:rsidP="008168E6">
            <w:pPr>
              <w:shd w:val="clear" w:color="auto" w:fill="auto"/>
              <w:spacing w:before="0" w:after="0"/>
              <w:jc w:val="center"/>
              <w:rPr>
                <w:color w:val="FFFFFF" w:themeColor="background1"/>
                <w:sz w:val="18"/>
                <w:szCs w:val="18"/>
              </w:rPr>
            </w:pPr>
            <w:r w:rsidRPr="00A77962">
              <w:rPr>
                <w:color w:val="FFFFFF" w:themeColor="background1"/>
                <w:sz w:val="18"/>
                <w:szCs w:val="18"/>
                <w:lang w:val="pt-BR"/>
              </w:rPr>
              <w:t>Pontuação</w:t>
            </w:r>
          </w:p>
        </w:tc>
        <w:tc>
          <w:tcPr>
            <w:tcW w:w="31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56BDF2F" w14:textId="5790F80B" w:rsidR="008168E6" w:rsidRPr="00D76530" w:rsidRDefault="008168E6" w:rsidP="008168E6">
            <w:pPr>
              <w:shd w:val="clear" w:color="auto" w:fill="auto"/>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D76530">
              <w:rPr>
                <w:color w:val="FFFFFF" w:themeColor="background1"/>
                <w:sz w:val="18"/>
                <w:szCs w:val="18"/>
              </w:rPr>
              <w:t>Cor</w:t>
            </w:r>
          </w:p>
        </w:tc>
        <w:tc>
          <w:tcPr>
            <w:tcW w:w="31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3B9914D" w14:textId="548760AD" w:rsidR="008168E6" w:rsidRPr="00D76530" w:rsidRDefault="002453AC" w:rsidP="008168E6">
            <w:pPr>
              <w:shd w:val="clear" w:color="auto" w:fill="auto"/>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lang w:val="pt-BR"/>
              </w:rPr>
              <w:t>Status</w:t>
            </w:r>
            <w:r w:rsidRPr="00A77962">
              <w:rPr>
                <w:color w:val="FFFFFF" w:themeColor="background1"/>
                <w:sz w:val="18"/>
                <w:szCs w:val="18"/>
                <w:lang w:val="pt-BR"/>
              </w:rPr>
              <w:t xml:space="preserve"> de Prontidão</w:t>
            </w:r>
          </w:p>
        </w:tc>
      </w:tr>
      <w:tr w:rsidR="008168E6" w:rsidRPr="00D76530" w14:paraId="3AF89CC1" w14:textId="11081144" w:rsidTr="005635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5081935" w14:textId="467855A3" w:rsidR="008168E6" w:rsidRPr="00D76530" w:rsidRDefault="002453AC" w:rsidP="008168E6">
            <w:pPr>
              <w:shd w:val="clear" w:color="auto" w:fill="auto"/>
              <w:spacing w:before="0" w:after="0"/>
              <w:jc w:val="center"/>
              <w:rPr>
                <w:sz w:val="18"/>
                <w:szCs w:val="18"/>
              </w:rPr>
            </w:pPr>
            <w:r w:rsidRPr="00A77962">
              <w:rPr>
                <w:sz w:val="18"/>
                <w:szCs w:val="18"/>
                <w:lang w:val="pt-BR"/>
              </w:rPr>
              <w:t>Se a pontuação total for 12-15</w:t>
            </w:r>
          </w:p>
        </w:tc>
        <w:tc>
          <w:tcPr>
            <w:tcW w:w="0" w:type="dxa"/>
            <w:shd w:val="clear" w:color="auto" w:fill="2F833F"/>
          </w:tcPr>
          <w:p w14:paraId="42BBD574" w14:textId="01A5559D" w:rsidR="008168E6" w:rsidRPr="00D76530" w:rsidRDefault="008168E6" w:rsidP="008168E6">
            <w:pPr>
              <w:shd w:val="clear" w:color="auto" w:fill="auto"/>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shd w:val="clear" w:color="auto" w:fill="FFFFFF" w:themeFill="background1"/>
          </w:tcPr>
          <w:p w14:paraId="7D8B0C74" w14:textId="27AB0D97" w:rsidR="008168E6" w:rsidRPr="00D76530" w:rsidRDefault="002453AC" w:rsidP="008168E6">
            <w:pPr>
              <w:shd w:val="clear" w:color="auto" w:fill="auto"/>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Satisfatório</w:t>
            </w:r>
          </w:p>
        </w:tc>
      </w:tr>
      <w:tr w:rsidR="008168E6" w:rsidRPr="00D76530" w14:paraId="54A8740B" w14:textId="5A69CB87" w:rsidTr="00563513">
        <w:trPr>
          <w:trHeight w:val="287"/>
        </w:trPr>
        <w:tc>
          <w:tcPr>
            <w:cnfStyle w:val="001000000000" w:firstRow="0" w:lastRow="0" w:firstColumn="1" w:lastColumn="0" w:oddVBand="0" w:evenVBand="0" w:oddHBand="0" w:evenHBand="0" w:firstRowFirstColumn="0" w:firstRowLastColumn="0" w:lastRowFirstColumn="0" w:lastRowLastColumn="0"/>
            <w:tcW w:w="0" w:type="dxa"/>
          </w:tcPr>
          <w:p w14:paraId="6EA27B3E" w14:textId="66A5A35E" w:rsidR="008168E6" w:rsidRPr="00D76530" w:rsidRDefault="002453AC" w:rsidP="008168E6">
            <w:pPr>
              <w:shd w:val="clear" w:color="auto" w:fill="auto"/>
              <w:spacing w:before="0" w:after="0"/>
              <w:jc w:val="center"/>
              <w:rPr>
                <w:sz w:val="18"/>
                <w:szCs w:val="18"/>
              </w:rPr>
            </w:pPr>
            <w:r w:rsidRPr="00A77962">
              <w:rPr>
                <w:sz w:val="18"/>
                <w:szCs w:val="18"/>
                <w:lang w:val="pt-BR"/>
              </w:rPr>
              <w:t>Se a pontuação total for 8-11</w:t>
            </w:r>
          </w:p>
        </w:tc>
        <w:tc>
          <w:tcPr>
            <w:tcW w:w="0" w:type="dxa"/>
            <w:shd w:val="clear" w:color="auto" w:fill="73C167"/>
          </w:tcPr>
          <w:p w14:paraId="6A5EDF46" w14:textId="16739AC2" w:rsidR="008168E6" w:rsidRPr="00D76530" w:rsidRDefault="008168E6" w:rsidP="008168E6">
            <w:pPr>
              <w:shd w:val="clear" w:color="auto" w:fill="auto"/>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dxa"/>
          </w:tcPr>
          <w:p w14:paraId="27B1F0F5" w14:textId="628000F5" w:rsidR="008168E6" w:rsidRPr="00D76530" w:rsidRDefault="002453AC" w:rsidP="008168E6">
            <w:pPr>
              <w:shd w:val="clear" w:color="auto" w:fill="auto"/>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A77962">
              <w:rPr>
                <w:sz w:val="18"/>
                <w:szCs w:val="18"/>
                <w:lang w:val="pt-BR"/>
              </w:rPr>
              <w:t>Parcialmente satisfatório</w:t>
            </w:r>
          </w:p>
        </w:tc>
      </w:tr>
      <w:tr w:rsidR="008168E6" w:rsidRPr="00D76530" w14:paraId="1567ACB4" w14:textId="7075A498" w:rsidTr="0056351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D78AE40" w14:textId="7A3A1C4B" w:rsidR="008168E6" w:rsidRPr="00D76530" w:rsidRDefault="002453AC" w:rsidP="008168E6">
            <w:pPr>
              <w:shd w:val="clear" w:color="auto" w:fill="auto"/>
              <w:spacing w:before="0" w:after="0"/>
              <w:jc w:val="center"/>
              <w:rPr>
                <w:sz w:val="18"/>
                <w:szCs w:val="18"/>
              </w:rPr>
            </w:pPr>
            <w:r w:rsidRPr="00A77962">
              <w:rPr>
                <w:sz w:val="18"/>
                <w:szCs w:val="18"/>
                <w:lang w:val="pt-BR"/>
              </w:rPr>
              <w:t>Se a pontuação total for 0-7</w:t>
            </w:r>
          </w:p>
        </w:tc>
        <w:tc>
          <w:tcPr>
            <w:tcW w:w="0" w:type="dxa"/>
            <w:shd w:val="clear" w:color="auto" w:fill="DDECD9"/>
          </w:tcPr>
          <w:p w14:paraId="79C1A86F" w14:textId="1308D974" w:rsidR="008168E6" w:rsidRPr="00D76530" w:rsidRDefault="008168E6" w:rsidP="008168E6">
            <w:pPr>
              <w:shd w:val="clear" w:color="auto" w:fill="auto"/>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shd w:val="clear" w:color="auto" w:fill="FFFFFF" w:themeFill="background1"/>
          </w:tcPr>
          <w:p w14:paraId="6C3840E5" w14:textId="316C1B2B" w:rsidR="008168E6" w:rsidRPr="00D76530" w:rsidRDefault="002453AC" w:rsidP="008168E6">
            <w:pPr>
              <w:shd w:val="clear" w:color="auto" w:fill="auto"/>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A77962">
              <w:rPr>
                <w:sz w:val="18"/>
                <w:szCs w:val="18"/>
                <w:lang w:val="pt-BR"/>
              </w:rPr>
              <w:t>Insatisfatório</w:t>
            </w:r>
          </w:p>
        </w:tc>
      </w:tr>
    </w:tbl>
    <w:p w14:paraId="312E1133" w14:textId="29F75AB5" w:rsidR="00326996" w:rsidRDefault="00326996">
      <w:pPr>
        <w:shd w:val="clear" w:color="auto" w:fill="auto"/>
        <w:spacing w:before="0" w:after="160" w:line="259" w:lineRule="auto"/>
        <w:rPr>
          <w:rFonts w:ascii="Open Sans Semibold" w:hAnsi="Open Sans Semibold" w:cs="Open Sans Semibold"/>
          <w:color w:val="49A146"/>
          <w:sz w:val="24"/>
        </w:rPr>
      </w:pPr>
    </w:p>
    <w:p w14:paraId="2E64F5BC" w14:textId="77777777" w:rsidR="002453AC" w:rsidRDefault="002453AC">
      <w:pPr>
        <w:shd w:val="clear" w:color="auto" w:fill="auto"/>
        <w:spacing w:before="0" w:after="160" w:line="259" w:lineRule="auto"/>
        <w:rPr>
          <w:rFonts w:ascii="Open Sans Semibold" w:hAnsi="Open Sans Semibold" w:cs="Open Sans Semibold"/>
          <w:color w:val="49A146"/>
          <w:sz w:val="24"/>
        </w:rPr>
      </w:pPr>
      <w:r>
        <w:br w:type="page"/>
      </w:r>
    </w:p>
    <w:p w14:paraId="71EE933C" w14:textId="02864332" w:rsidR="00D76530" w:rsidRPr="00D76530" w:rsidRDefault="002453AC" w:rsidP="00DA002E">
      <w:pPr>
        <w:pStyle w:val="Heading1"/>
      </w:pPr>
      <w:bookmarkStart w:id="9" w:name="_Toc103764062"/>
      <w:r w:rsidRPr="00A77962">
        <w:rPr>
          <w:lang w:val="pt-BR"/>
        </w:rPr>
        <w:lastRenderedPageBreak/>
        <w:t>Resultados</w:t>
      </w:r>
      <w:bookmarkEnd w:id="9"/>
    </w:p>
    <w:p w14:paraId="187B3519" w14:textId="77777777" w:rsidR="002453AC" w:rsidRPr="00A77962" w:rsidRDefault="002453AC" w:rsidP="002453AC">
      <w:pPr>
        <w:jc w:val="both"/>
        <w:rPr>
          <w:lang w:val="pt-BR"/>
        </w:rPr>
      </w:pPr>
      <w:r w:rsidRPr="00A77962">
        <w:rPr>
          <w:lang w:val="pt-BR"/>
        </w:rPr>
        <w:t>Quatorze dos 20 países mencionados neste suplemento foram incluídos no escopo das avaliações originais da Estrutura de Oportunidades conduzidas em 2019-2020. Essas avaliações foram feitas originalmente com base em um questionário enviado a especialistas em posse e membros da coalizão RRI com experiência em cada país, seguido por reuniões adicionais de consulta de especialistas regionais e globais. Mais informações sobre este processo e as avaliações originais da Estrutura de Oportunidades são fornecidas no relatório de 2020. Essas avaliações foram revisadas em 2021 para dar conta das mudanças notáveis nos ambientes jurídicos ou políticos.</w:t>
      </w:r>
    </w:p>
    <w:p w14:paraId="49B0B4AE" w14:textId="77777777" w:rsidR="002453AC" w:rsidRPr="00A77962" w:rsidRDefault="002453AC" w:rsidP="002453AC">
      <w:pPr>
        <w:shd w:val="clear" w:color="auto" w:fill="auto"/>
        <w:spacing w:before="0" w:after="0" w:line="240" w:lineRule="auto"/>
        <w:jc w:val="both"/>
        <w:rPr>
          <w:lang w:val="pt-BR"/>
        </w:rPr>
      </w:pPr>
      <w:r w:rsidRPr="00A77962">
        <w:rPr>
          <w:lang w:val="pt-BR"/>
        </w:rPr>
        <w:t>Em 2021, avaliações d</w:t>
      </w:r>
      <w:r>
        <w:rPr>
          <w:lang w:val="pt-BR"/>
        </w:rPr>
        <w:t>a</w:t>
      </w:r>
      <w:r w:rsidRPr="00A77962">
        <w:rPr>
          <w:lang w:val="pt-BR"/>
        </w:rPr>
        <w:t xml:space="preserve"> </w:t>
      </w:r>
      <w:r>
        <w:rPr>
          <w:lang w:val="pt-BR"/>
        </w:rPr>
        <w:t>Estrutura de Oportunidades</w:t>
      </w:r>
      <w:r w:rsidRPr="00A77962">
        <w:rPr>
          <w:lang w:val="pt-BR"/>
        </w:rPr>
        <w:t xml:space="preserve"> também foram realizadas para seis novas jurisdições onde o GATC tem membros: </w:t>
      </w:r>
      <w:r w:rsidRPr="007302FB">
        <w:rPr>
          <w:i/>
          <w:iCs/>
          <w:lang w:val="pt-BR"/>
        </w:rPr>
        <w:t>Costa Rica, Equador, Guiana Francesa (França)</w:t>
      </w:r>
      <w:r>
        <w:rPr>
          <w:rStyle w:val="FootnoteReference"/>
          <w:i/>
          <w:iCs/>
        </w:rPr>
        <w:footnoteReference w:id="3"/>
      </w:r>
      <w:r w:rsidRPr="007302FB">
        <w:rPr>
          <w:i/>
          <w:iCs/>
          <w:lang w:val="pt-BR"/>
        </w:rPr>
        <w:t>, Honduras, Nicarágua e Panamá</w:t>
      </w:r>
      <w:r w:rsidRPr="00A77962">
        <w:rPr>
          <w:lang w:val="pt-BR"/>
        </w:rPr>
        <w:t>. As avaliações para esses países baseiam-se em uma variedade de fontes.</w:t>
      </w:r>
    </w:p>
    <w:p w14:paraId="4759F7DE" w14:textId="1B1064AF" w:rsidR="00D76530" w:rsidRDefault="002453AC" w:rsidP="002453AC">
      <w:pPr>
        <w:jc w:val="both"/>
      </w:pPr>
      <w:r w:rsidRPr="00A77962">
        <w:rPr>
          <w:lang w:val="pt-BR"/>
        </w:rPr>
        <w:t>As avaliações de prontidão para todos os 20 países em 2021 estão resumidas na Tabela 4.</w:t>
      </w:r>
    </w:p>
    <w:p w14:paraId="6186DCA2" w14:textId="7AD47D86" w:rsidR="00D76530" w:rsidRPr="00997E72" w:rsidRDefault="002453AC" w:rsidP="00DA002E">
      <w:pPr>
        <w:pStyle w:val="Heading3"/>
      </w:pPr>
      <w:bookmarkStart w:id="10" w:name="_Toc103764063"/>
      <w:r w:rsidRPr="00A77962">
        <w:rPr>
          <w:lang w:val="pt-BR"/>
        </w:rPr>
        <w:t>Tabela 4. Avaliações da Estrutura de Oportunidades de 2021 para 20 Países com Membros do GATC</w:t>
      </w:r>
      <w:bookmarkEnd w:id="10"/>
    </w:p>
    <w:tbl>
      <w:tblPr>
        <w:tblStyle w:val="TableGrid"/>
        <w:tblW w:w="0" w:type="auto"/>
        <w:tblLook w:val="04A0" w:firstRow="1" w:lastRow="0" w:firstColumn="1" w:lastColumn="0" w:noHBand="0" w:noVBand="1"/>
      </w:tblPr>
      <w:tblGrid>
        <w:gridCol w:w="1279"/>
        <w:gridCol w:w="1674"/>
        <w:gridCol w:w="1210"/>
        <w:gridCol w:w="1316"/>
        <w:gridCol w:w="1266"/>
        <w:gridCol w:w="1271"/>
        <w:gridCol w:w="1334"/>
      </w:tblGrid>
      <w:tr w:rsidR="00201CB9" w:rsidRPr="00563513" w14:paraId="40454B8F" w14:textId="77777777" w:rsidTr="002453AC">
        <w:trPr>
          <w:trHeight w:val="350"/>
        </w:trPr>
        <w:tc>
          <w:tcPr>
            <w:tcW w:w="1075" w:type="dxa"/>
            <w:shd w:val="clear" w:color="auto" w:fill="415A68"/>
            <w:vAlign w:val="center"/>
          </w:tcPr>
          <w:p w14:paraId="0DCB1CA7" w14:textId="67174136" w:rsidR="00741926" w:rsidRPr="00563513" w:rsidRDefault="002453AC" w:rsidP="00563513">
            <w:pPr>
              <w:shd w:val="clear" w:color="auto" w:fill="auto"/>
              <w:spacing w:before="0" w:after="0"/>
              <w:rPr>
                <w:b/>
                <w:bCs/>
                <w:color w:val="FFFFFF" w:themeColor="background1"/>
                <w:sz w:val="18"/>
                <w:szCs w:val="18"/>
              </w:rPr>
            </w:pPr>
            <w:r w:rsidRPr="00A77962">
              <w:rPr>
                <w:b/>
                <w:bCs/>
                <w:color w:val="FFFFFF" w:themeColor="background1"/>
                <w:sz w:val="18"/>
                <w:szCs w:val="18"/>
                <w:lang w:val="pt-BR"/>
              </w:rPr>
              <w:t>País</w:t>
            </w:r>
          </w:p>
        </w:tc>
        <w:tc>
          <w:tcPr>
            <w:tcW w:w="1680" w:type="dxa"/>
            <w:shd w:val="clear" w:color="auto" w:fill="415A68"/>
            <w:vAlign w:val="center"/>
          </w:tcPr>
          <w:p w14:paraId="11A7D406" w14:textId="6ED9C6F5" w:rsidR="00741926" w:rsidRPr="00563513" w:rsidRDefault="002453AC" w:rsidP="00563513">
            <w:pPr>
              <w:shd w:val="clear" w:color="auto" w:fill="auto"/>
              <w:spacing w:before="0" w:after="0"/>
              <w:jc w:val="center"/>
              <w:rPr>
                <w:b/>
                <w:bCs/>
                <w:color w:val="FFFFFF" w:themeColor="background1"/>
                <w:sz w:val="18"/>
                <w:szCs w:val="18"/>
              </w:rPr>
            </w:pPr>
            <w:r w:rsidRPr="00A77962">
              <w:rPr>
                <w:b/>
                <w:bCs/>
                <w:color w:val="FFFFFF" w:themeColor="background1"/>
                <w:sz w:val="18"/>
                <w:szCs w:val="18"/>
                <w:lang w:val="pt-BR"/>
              </w:rPr>
              <w:t>Enquadramento Jurídico</w:t>
            </w:r>
          </w:p>
        </w:tc>
        <w:tc>
          <w:tcPr>
            <w:tcW w:w="1301" w:type="dxa"/>
            <w:shd w:val="clear" w:color="auto" w:fill="415A68"/>
            <w:vAlign w:val="center"/>
          </w:tcPr>
          <w:p w14:paraId="10B2FB25" w14:textId="6D99B059" w:rsidR="00741926" w:rsidRPr="00563513" w:rsidRDefault="002453AC" w:rsidP="00563513">
            <w:pPr>
              <w:shd w:val="clear" w:color="auto" w:fill="auto"/>
              <w:spacing w:before="0" w:after="0"/>
              <w:jc w:val="center"/>
              <w:rPr>
                <w:b/>
                <w:bCs/>
                <w:color w:val="FFFFFF" w:themeColor="background1"/>
                <w:sz w:val="18"/>
                <w:szCs w:val="18"/>
              </w:rPr>
            </w:pPr>
            <w:r>
              <w:rPr>
                <w:b/>
                <w:bCs/>
                <w:color w:val="FFFFFF" w:themeColor="background1"/>
                <w:sz w:val="18"/>
                <w:szCs w:val="18"/>
                <w:lang w:val="pt-BR"/>
              </w:rPr>
              <w:t>Disposição</w:t>
            </w:r>
            <w:r w:rsidRPr="00A77962">
              <w:rPr>
                <w:b/>
                <w:bCs/>
                <w:color w:val="FFFFFF" w:themeColor="background1"/>
                <w:sz w:val="18"/>
                <w:szCs w:val="18"/>
                <w:lang w:val="pt-BR"/>
              </w:rPr>
              <w:t xml:space="preserve"> do Governo Nacional</w:t>
            </w:r>
          </w:p>
        </w:tc>
        <w:tc>
          <w:tcPr>
            <w:tcW w:w="1301" w:type="dxa"/>
            <w:shd w:val="clear" w:color="auto" w:fill="415A68"/>
            <w:vAlign w:val="center"/>
          </w:tcPr>
          <w:p w14:paraId="370B5F0D" w14:textId="3F863226" w:rsidR="00741926" w:rsidRPr="00563513" w:rsidRDefault="002453AC" w:rsidP="00563513">
            <w:pPr>
              <w:shd w:val="clear" w:color="auto" w:fill="auto"/>
              <w:spacing w:before="0" w:after="0"/>
              <w:jc w:val="center"/>
              <w:rPr>
                <w:b/>
                <w:bCs/>
                <w:color w:val="FFFFFF" w:themeColor="background1"/>
                <w:sz w:val="18"/>
                <w:szCs w:val="18"/>
              </w:rPr>
            </w:pPr>
            <w:r>
              <w:rPr>
                <w:b/>
                <w:bCs/>
                <w:color w:val="FFFFFF" w:themeColor="background1"/>
                <w:sz w:val="18"/>
                <w:szCs w:val="18"/>
                <w:lang w:val="pt-BR"/>
              </w:rPr>
              <w:t>Disposição</w:t>
            </w:r>
            <w:r w:rsidRPr="00A77962">
              <w:rPr>
                <w:b/>
                <w:bCs/>
                <w:color w:val="FFFFFF" w:themeColor="background1"/>
                <w:sz w:val="18"/>
                <w:szCs w:val="18"/>
                <w:lang w:val="pt-BR"/>
              </w:rPr>
              <w:t xml:space="preserve"> do Governo Subnacional</w:t>
            </w:r>
          </w:p>
        </w:tc>
        <w:tc>
          <w:tcPr>
            <w:tcW w:w="1301" w:type="dxa"/>
            <w:shd w:val="clear" w:color="auto" w:fill="415A68"/>
            <w:vAlign w:val="center"/>
          </w:tcPr>
          <w:p w14:paraId="1A09C528" w14:textId="4209C3EA" w:rsidR="00741926" w:rsidRPr="00563513" w:rsidRDefault="002453AC" w:rsidP="00563513">
            <w:pPr>
              <w:shd w:val="clear" w:color="auto" w:fill="auto"/>
              <w:spacing w:before="0" w:after="0"/>
              <w:jc w:val="center"/>
              <w:rPr>
                <w:b/>
                <w:bCs/>
                <w:color w:val="FFFFFF" w:themeColor="background1"/>
                <w:sz w:val="18"/>
                <w:szCs w:val="18"/>
              </w:rPr>
            </w:pPr>
            <w:r w:rsidRPr="00A77962">
              <w:rPr>
                <w:b/>
                <w:bCs/>
                <w:color w:val="FFFFFF" w:themeColor="background1"/>
                <w:sz w:val="18"/>
                <w:szCs w:val="18"/>
                <w:lang w:val="pt-BR"/>
              </w:rPr>
              <w:t>Capacidade do Governo</w:t>
            </w:r>
          </w:p>
        </w:tc>
        <w:tc>
          <w:tcPr>
            <w:tcW w:w="1319" w:type="dxa"/>
            <w:shd w:val="clear" w:color="auto" w:fill="415A68"/>
            <w:vAlign w:val="center"/>
          </w:tcPr>
          <w:p w14:paraId="28B4BEA7" w14:textId="67479099" w:rsidR="00741926" w:rsidRPr="00563513" w:rsidRDefault="002453AC" w:rsidP="00563513">
            <w:pPr>
              <w:shd w:val="clear" w:color="auto" w:fill="auto"/>
              <w:spacing w:before="0" w:after="0"/>
              <w:jc w:val="center"/>
              <w:rPr>
                <w:b/>
                <w:bCs/>
                <w:color w:val="FFFFFF" w:themeColor="background1"/>
                <w:sz w:val="18"/>
                <w:szCs w:val="18"/>
              </w:rPr>
            </w:pPr>
            <w:r w:rsidRPr="00A77962">
              <w:rPr>
                <w:b/>
                <w:bCs/>
                <w:color w:val="FFFFFF" w:themeColor="background1"/>
                <w:sz w:val="18"/>
                <w:szCs w:val="18"/>
                <w:lang w:val="pt-BR"/>
              </w:rPr>
              <w:t xml:space="preserve">Capacidade dos Titulares </w:t>
            </w:r>
            <w:r>
              <w:rPr>
                <w:b/>
                <w:bCs/>
                <w:color w:val="FFFFFF" w:themeColor="background1"/>
                <w:sz w:val="18"/>
                <w:szCs w:val="18"/>
                <w:lang w:val="pt-BR"/>
              </w:rPr>
              <w:t>de</w:t>
            </w:r>
            <w:r w:rsidRPr="00A77962">
              <w:rPr>
                <w:b/>
                <w:bCs/>
                <w:color w:val="FFFFFF" w:themeColor="background1"/>
                <w:sz w:val="18"/>
                <w:szCs w:val="18"/>
                <w:lang w:val="pt-BR"/>
              </w:rPr>
              <w:t xml:space="preserve"> Direitos e da Sociedade Civil</w:t>
            </w:r>
          </w:p>
        </w:tc>
        <w:tc>
          <w:tcPr>
            <w:tcW w:w="1373" w:type="dxa"/>
            <w:shd w:val="clear" w:color="auto" w:fill="415A68"/>
            <w:vAlign w:val="center"/>
          </w:tcPr>
          <w:p w14:paraId="4416F86D" w14:textId="499C7DD9" w:rsidR="00741926" w:rsidRPr="00563513" w:rsidRDefault="002453AC" w:rsidP="00563513">
            <w:pPr>
              <w:shd w:val="clear" w:color="auto" w:fill="auto"/>
              <w:spacing w:before="0" w:after="0"/>
              <w:jc w:val="center"/>
              <w:rPr>
                <w:b/>
                <w:bCs/>
                <w:color w:val="FFFFFF" w:themeColor="background1"/>
                <w:sz w:val="18"/>
                <w:szCs w:val="18"/>
              </w:rPr>
            </w:pPr>
            <w:r w:rsidRPr="00A77962">
              <w:rPr>
                <w:b/>
                <w:bCs/>
                <w:color w:val="FFFFFF" w:themeColor="background1"/>
                <w:sz w:val="18"/>
                <w:szCs w:val="18"/>
                <w:lang w:val="pt-BR"/>
              </w:rPr>
              <w:t>Avaliação Geral</w:t>
            </w:r>
          </w:p>
        </w:tc>
      </w:tr>
      <w:tr w:rsidR="00201CB9" w:rsidRPr="00741926" w14:paraId="0E0C5BF1" w14:textId="77777777" w:rsidTr="002453AC">
        <w:trPr>
          <w:trHeight w:val="288"/>
        </w:trPr>
        <w:tc>
          <w:tcPr>
            <w:tcW w:w="1075" w:type="dxa"/>
            <w:vAlign w:val="center"/>
          </w:tcPr>
          <w:p w14:paraId="3D707E3F" w14:textId="1576D80C"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Bol</w:t>
            </w:r>
            <w:r w:rsidR="00E6459F">
              <w:rPr>
                <w:color w:val="000000" w:themeColor="text1"/>
                <w:sz w:val="18"/>
                <w:szCs w:val="18"/>
              </w:rPr>
              <w:t>í</w:t>
            </w:r>
            <w:r w:rsidRPr="00A76903">
              <w:rPr>
                <w:color w:val="000000" w:themeColor="text1"/>
                <w:sz w:val="18"/>
                <w:szCs w:val="18"/>
              </w:rPr>
              <w:t>via</w:t>
            </w:r>
            <w:proofErr w:type="spellEnd"/>
          </w:p>
        </w:tc>
        <w:tc>
          <w:tcPr>
            <w:tcW w:w="1680" w:type="dxa"/>
            <w:shd w:val="clear" w:color="auto" w:fill="49A178"/>
            <w:vAlign w:val="center"/>
          </w:tcPr>
          <w:p w14:paraId="674662F9" w14:textId="6DA4B4EF" w:rsidR="00741926" w:rsidRPr="00A76903" w:rsidRDefault="00741926" w:rsidP="00A76903">
            <w:pPr>
              <w:shd w:val="clear" w:color="auto" w:fill="auto"/>
              <w:spacing w:before="0" w:after="0" w:line="240" w:lineRule="auto"/>
              <w:jc w:val="center"/>
              <w:rPr>
                <w:color w:val="000000" w:themeColor="text1"/>
                <w:sz w:val="18"/>
                <w:szCs w:val="18"/>
              </w:rPr>
            </w:pPr>
            <w:r w:rsidRPr="00A76903">
              <w:rPr>
                <w:color w:val="000000" w:themeColor="text1"/>
                <w:sz w:val="18"/>
                <w:szCs w:val="18"/>
              </w:rPr>
              <w:t>5</w:t>
            </w:r>
          </w:p>
        </w:tc>
        <w:tc>
          <w:tcPr>
            <w:tcW w:w="1301" w:type="dxa"/>
            <w:shd w:val="clear" w:color="auto" w:fill="FFD966" w:themeFill="accent4" w:themeFillTint="99"/>
            <w:vAlign w:val="center"/>
          </w:tcPr>
          <w:p w14:paraId="2B30DE2A" w14:textId="62BE2E0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AFD08D"/>
            <w:vAlign w:val="center"/>
          </w:tcPr>
          <w:p w14:paraId="1F1D6186" w14:textId="34F9E252"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01" w:type="dxa"/>
            <w:shd w:val="clear" w:color="auto" w:fill="AFD08D"/>
            <w:vAlign w:val="center"/>
          </w:tcPr>
          <w:p w14:paraId="5D0C969E" w14:textId="716C3AB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49A178"/>
            <w:vAlign w:val="center"/>
          </w:tcPr>
          <w:p w14:paraId="3DD94BD7" w14:textId="6015003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73C167"/>
            <w:vAlign w:val="center"/>
          </w:tcPr>
          <w:p w14:paraId="1FA813CD" w14:textId="51586DD1"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(9)</w:t>
            </w:r>
          </w:p>
        </w:tc>
      </w:tr>
      <w:tr w:rsidR="00201CB9" w:rsidRPr="00741926" w14:paraId="0B474AAF" w14:textId="77777777" w:rsidTr="002453AC">
        <w:trPr>
          <w:trHeight w:val="287"/>
        </w:trPr>
        <w:tc>
          <w:tcPr>
            <w:tcW w:w="1075" w:type="dxa"/>
            <w:vAlign w:val="center"/>
          </w:tcPr>
          <w:p w14:paraId="0B2FF66F" w14:textId="59D2B338"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Bra</w:t>
            </w:r>
            <w:r w:rsidR="00E6459F">
              <w:rPr>
                <w:color w:val="000000" w:themeColor="text1"/>
                <w:sz w:val="18"/>
                <w:szCs w:val="18"/>
              </w:rPr>
              <w:t>s</w:t>
            </w:r>
            <w:r w:rsidRPr="00A76903">
              <w:rPr>
                <w:color w:val="000000" w:themeColor="text1"/>
                <w:sz w:val="18"/>
                <w:szCs w:val="18"/>
              </w:rPr>
              <w:t>il</w:t>
            </w:r>
            <w:proofErr w:type="spellEnd"/>
          </w:p>
        </w:tc>
        <w:tc>
          <w:tcPr>
            <w:tcW w:w="1680" w:type="dxa"/>
            <w:shd w:val="clear" w:color="auto" w:fill="49A178"/>
            <w:vAlign w:val="center"/>
          </w:tcPr>
          <w:p w14:paraId="1BF34936" w14:textId="7485DFB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FFD966" w:themeFill="accent4" w:themeFillTint="99"/>
            <w:vAlign w:val="center"/>
          </w:tcPr>
          <w:p w14:paraId="666E5F45" w14:textId="4EE400A3"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AFD08D"/>
            <w:vAlign w:val="center"/>
          </w:tcPr>
          <w:p w14:paraId="51CC9C07" w14:textId="1BF95DFC"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01" w:type="dxa"/>
            <w:shd w:val="clear" w:color="auto" w:fill="49A178"/>
            <w:vAlign w:val="center"/>
          </w:tcPr>
          <w:p w14:paraId="2971AAE6" w14:textId="48974E2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19" w:type="dxa"/>
            <w:shd w:val="clear" w:color="auto" w:fill="49A178"/>
            <w:vAlign w:val="center"/>
          </w:tcPr>
          <w:p w14:paraId="1C6A4194" w14:textId="6F9F3F6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73C167"/>
            <w:vAlign w:val="center"/>
          </w:tcPr>
          <w:p w14:paraId="4A0DB78C" w14:textId="6D5CE0C1"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(10)</w:t>
            </w:r>
          </w:p>
        </w:tc>
      </w:tr>
      <w:tr w:rsidR="00201CB9" w:rsidRPr="00741926" w14:paraId="7C65A482" w14:textId="77777777" w:rsidTr="002453AC">
        <w:trPr>
          <w:trHeight w:val="278"/>
        </w:trPr>
        <w:tc>
          <w:tcPr>
            <w:tcW w:w="1075" w:type="dxa"/>
            <w:vAlign w:val="center"/>
          </w:tcPr>
          <w:p w14:paraId="4908C05D" w14:textId="1D39753D"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Camer</w:t>
            </w:r>
            <w:r w:rsidR="00E6459F">
              <w:rPr>
                <w:color w:val="000000" w:themeColor="text1"/>
                <w:sz w:val="18"/>
                <w:szCs w:val="18"/>
              </w:rPr>
              <w:t>ões</w:t>
            </w:r>
            <w:proofErr w:type="spellEnd"/>
          </w:p>
        </w:tc>
        <w:tc>
          <w:tcPr>
            <w:tcW w:w="1680" w:type="dxa"/>
            <w:shd w:val="clear" w:color="auto" w:fill="AFD08D"/>
            <w:vAlign w:val="center"/>
          </w:tcPr>
          <w:p w14:paraId="0FA92360" w14:textId="676F623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AFD08D"/>
            <w:vAlign w:val="center"/>
          </w:tcPr>
          <w:p w14:paraId="329522C2" w14:textId="3716BE1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30181D7E" w14:textId="7E86DBA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01" w:type="dxa"/>
            <w:shd w:val="clear" w:color="auto" w:fill="AFD08D"/>
            <w:vAlign w:val="center"/>
          </w:tcPr>
          <w:p w14:paraId="4AD6A997" w14:textId="16A5A66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49A178"/>
            <w:vAlign w:val="center"/>
          </w:tcPr>
          <w:p w14:paraId="685A969C" w14:textId="6BEEA11A"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73C167"/>
            <w:vAlign w:val="center"/>
          </w:tcPr>
          <w:p w14:paraId="6FC890BD" w14:textId="7189DF18"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(9)</w:t>
            </w:r>
          </w:p>
        </w:tc>
      </w:tr>
      <w:tr w:rsidR="00201CB9" w:rsidRPr="00741926" w14:paraId="7A654023" w14:textId="77777777" w:rsidTr="002453AC">
        <w:tc>
          <w:tcPr>
            <w:tcW w:w="1075" w:type="dxa"/>
            <w:vAlign w:val="center"/>
          </w:tcPr>
          <w:p w14:paraId="6265072F" w14:textId="691BBDD8" w:rsidR="00741926" w:rsidRPr="00A76903" w:rsidRDefault="00E6459F" w:rsidP="00563513">
            <w:pPr>
              <w:shd w:val="clear" w:color="auto" w:fill="auto"/>
              <w:spacing w:before="0" w:after="0"/>
              <w:rPr>
                <w:color w:val="000000" w:themeColor="text1"/>
                <w:sz w:val="18"/>
                <w:szCs w:val="18"/>
              </w:rPr>
            </w:pPr>
            <w:r w:rsidRPr="00A77962">
              <w:rPr>
                <w:color w:val="000000" w:themeColor="text1"/>
                <w:sz w:val="18"/>
                <w:szCs w:val="18"/>
                <w:lang w:val="pt-BR"/>
              </w:rPr>
              <w:t>República Centro-Africana</w:t>
            </w:r>
          </w:p>
        </w:tc>
        <w:tc>
          <w:tcPr>
            <w:tcW w:w="1680" w:type="dxa"/>
            <w:shd w:val="clear" w:color="auto" w:fill="AFD08D"/>
            <w:vAlign w:val="center"/>
          </w:tcPr>
          <w:p w14:paraId="40155029" w14:textId="782D9DEA"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49A178"/>
            <w:vAlign w:val="center"/>
          </w:tcPr>
          <w:p w14:paraId="5F87FA60" w14:textId="09100F0D"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4</w:t>
            </w:r>
          </w:p>
        </w:tc>
        <w:tc>
          <w:tcPr>
            <w:tcW w:w="1301" w:type="dxa"/>
            <w:shd w:val="clear" w:color="auto" w:fill="49A178"/>
            <w:vAlign w:val="center"/>
          </w:tcPr>
          <w:p w14:paraId="5E8B8F4B" w14:textId="481E0EB5"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FFD966" w:themeFill="accent4" w:themeFillTint="99"/>
            <w:vAlign w:val="center"/>
          </w:tcPr>
          <w:p w14:paraId="0E570E46" w14:textId="44271D4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19" w:type="dxa"/>
            <w:shd w:val="clear" w:color="auto" w:fill="AFD08D"/>
            <w:vAlign w:val="center"/>
          </w:tcPr>
          <w:p w14:paraId="1649B725" w14:textId="2B9C143A"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73C167"/>
            <w:vAlign w:val="center"/>
          </w:tcPr>
          <w:p w14:paraId="58D18EEF" w14:textId="79C43DBA"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(10)</w:t>
            </w:r>
          </w:p>
        </w:tc>
      </w:tr>
      <w:tr w:rsidR="00201CB9" w:rsidRPr="00741926" w14:paraId="01B6FD60" w14:textId="77777777" w:rsidTr="002453AC">
        <w:trPr>
          <w:trHeight w:val="288"/>
        </w:trPr>
        <w:tc>
          <w:tcPr>
            <w:tcW w:w="1075" w:type="dxa"/>
            <w:vAlign w:val="center"/>
          </w:tcPr>
          <w:p w14:paraId="195A6C56" w14:textId="2327E840"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Col</w:t>
            </w:r>
            <w:r w:rsidR="00E6459F">
              <w:rPr>
                <w:color w:val="000000" w:themeColor="text1"/>
                <w:sz w:val="18"/>
                <w:szCs w:val="18"/>
              </w:rPr>
              <w:t>ô</w:t>
            </w:r>
            <w:r w:rsidRPr="00A76903">
              <w:rPr>
                <w:color w:val="000000" w:themeColor="text1"/>
                <w:sz w:val="18"/>
                <w:szCs w:val="18"/>
              </w:rPr>
              <w:t>mbia</w:t>
            </w:r>
            <w:proofErr w:type="spellEnd"/>
          </w:p>
        </w:tc>
        <w:tc>
          <w:tcPr>
            <w:tcW w:w="1680" w:type="dxa"/>
            <w:shd w:val="clear" w:color="auto" w:fill="49A178"/>
            <w:vAlign w:val="center"/>
          </w:tcPr>
          <w:p w14:paraId="013E4093" w14:textId="04F49EA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AFD08D"/>
            <w:vAlign w:val="center"/>
          </w:tcPr>
          <w:p w14:paraId="6C277EAF" w14:textId="37782652"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49A178"/>
            <w:vAlign w:val="center"/>
          </w:tcPr>
          <w:p w14:paraId="7C29F69C" w14:textId="1762D89B"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5BDF55CC" w14:textId="461C6A5B"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49A178"/>
            <w:vAlign w:val="center"/>
          </w:tcPr>
          <w:p w14:paraId="1F054FBF" w14:textId="4B28F9CD"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2F833F"/>
            <w:vAlign w:val="center"/>
          </w:tcPr>
          <w:p w14:paraId="3CFAEF31" w14:textId="32769F34"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Satisfatório</w:t>
            </w:r>
            <w:r w:rsidR="00741926" w:rsidRPr="00A76903">
              <w:rPr>
                <w:color w:val="000000" w:themeColor="text1"/>
                <w:sz w:val="18"/>
                <w:szCs w:val="18"/>
              </w:rPr>
              <w:t xml:space="preserve"> (12)</w:t>
            </w:r>
          </w:p>
        </w:tc>
      </w:tr>
      <w:tr w:rsidR="00201CB9" w:rsidRPr="00741926" w14:paraId="5D19E171" w14:textId="77777777" w:rsidTr="002453AC">
        <w:trPr>
          <w:trHeight w:val="288"/>
        </w:trPr>
        <w:tc>
          <w:tcPr>
            <w:tcW w:w="1075" w:type="dxa"/>
            <w:vAlign w:val="center"/>
          </w:tcPr>
          <w:p w14:paraId="533E94E4" w14:textId="4477DEC8" w:rsidR="00741926" w:rsidRPr="00A76903" w:rsidRDefault="00E6459F" w:rsidP="00563513">
            <w:pPr>
              <w:shd w:val="clear" w:color="auto" w:fill="auto"/>
              <w:spacing w:before="0" w:after="0"/>
              <w:rPr>
                <w:color w:val="000000" w:themeColor="text1"/>
                <w:sz w:val="18"/>
                <w:szCs w:val="18"/>
              </w:rPr>
            </w:pPr>
            <w:r w:rsidRPr="00A77962">
              <w:rPr>
                <w:color w:val="000000" w:themeColor="text1"/>
                <w:sz w:val="18"/>
                <w:szCs w:val="18"/>
                <w:lang w:val="pt-BR"/>
              </w:rPr>
              <w:t>República Democrática do Congo</w:t>
            </w:r>
          </w:p>
        </w:tc>
        <w:tc>
          <w:tcPr>
            <w:tcW w:w="1680" w:type="dxa"/>
            <w:shd w:val="clear" w:color="auto" w:fill="AFD08D"/>
            <w:vAlign w:val="center"/>
          </w:tcPr>
          <w:p w14:paraId="22E2C0F4" w14:textId="7E1A5CE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49A178"/>
            <w:vAlign w:val="center"/>
          </w:tcPr>
          <w:p w14:paraId="7011071C" w14:textId="546A9861"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4</w:t>
            </w:r>
          </w:p>
        </w:tc>
        <w:tc>
          <w:tcPr>
            <w:tcW w:w="1301" w:type="dxa"/>
            <w:shd w:val="clear" w:color="auto" w:fill="49A178"/>
            <w:vAlign w:val="center"/>
          </w:tcPr>
          <w:p w14:paraId="584ABF65" w14:textId="18649D5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469D7A34" w14:textId="66F45C0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49A178"/>
            <w:vAlign w:val="center"/>
          </w:tcPr>
          <w:p w14:paraId="2266080A" w14:textId="477C7C4C"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2F833F"/>
            <w:vAlign w:val="center"/>
          </w:tcPr>
          <w:p w14:paraId="3F4F37BB" w14:textId="5F84DC38"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Satisfatório</w:t>
            </w:r>
            <w:r w:rsidR="00741926" w:rsidRPr="00A76903">
              <w:rPr>
                <w:color w:val="000000" w:themeColor="text1"/>
                <w:sz w:val="18"/>
                <w:szCs w:val="18"/>
              </w:rPr>
              <w:t xml:space="preserve"> (12)</w:t>
            </w:r>
          </w:p>
        </w:tc>
      </w:tr>
      <w:tr w:rsidR="00201CB9" w:rsidRPr="00741926" w14:paraId="4D87E469" w14:textId="77777777" w:rsidTr="002453AC">
        <w:trPr>
          <w:trHeight w:val="288"/>
        </w:trPr>
        <w:tc>
          <w:tcPr>
            <w:tcW w:w="1075" w:type="dxa"/>
            <w:vAlign w:val="center"/>
          </w:tcPr>
          <w:p w14:paraId="2285F1C3" w14:textId="557947B2"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lastRenderedPageBreak/>
              <w:t>Costa Rica</w:t>
            </w:r>
          </w:p>
        </w:tc>
        <w:tc>
          <w:tcPr>
            <w:tcW w:w="1680" w:type="dxa"/>
            <w:shd w:val="clear" w:color="auto" w:fill="49A178"/>
            <w:vAlign w:val="center"/>
          </w:tcPr>
          <w:p w14:paraId="07987D84" w14:textId="18353319"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AFD08D"/>
            <w:vAlign w:val="center"/>
          </w:tcPr>
          <w:p w14:paraId="0013E2DC" w14:textId="4BF60DB7"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vAlign w:val="center"/>
          </w:tcPr>
          <w:p w14:paraId="15F2C45A" w14:textId="3978F1D5"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w:t>
            </w:r>
          </w:p>
        </w:tc>
        <w:tc>
          <w:tcPr>
            <w:tcW w:w="1301" w:type="dxa"/>
            <w:shd w:val="clear" w:color="auto" w:fill="49A178"/>
            <w:vAlign w:val="center"/>
          </w:tcPr>
          <w:p w14:paraId="1D636D8A" w14:textId="6FE255BD"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19" w:type="dxa"/>
            <w:shd w:val="clear" w:color="auto" w:fill="49A178"/>
            <w:vAlign w:val="center"/>
          </w:tcPr>
          <w:p w14:paraId="0A6E1B26" w14:textId="590019F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2F833F"/>
            <w:vAlign w:val="center"/>
          </w:tcPr>
          <w:p w14:paraId="3D14442A" w14:textId="14FF05E0"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Satisfatório</w:t>
            </w:r>
            <w:r w:rsidR="00741926" w:rsidRPr="00A76903">
              <w:rPr>
                <w:color w:val="000000" w:themeColor="text1"/>
                <w:sz w:val="18"/>
                <w:szCs w:val="18"/>
              </w:rPr>
              <w:t xml:space="preserve"> (12)</w:t>
            </w:r>
          </w:p>
        </w:tc>
      </w:tr>
      <w:tr w:rsidR="00201CB9" w:rsidRPr="00741926" w14:paraId="045B80D5" w14:textId="77777777" w:rsidTr="002453AC">
        <w:trPr>
          <w:trHeight w:val="288"/>
        </w:trPr>
        <w:tc>
          <w:tcPr>
            <w:tcW w:w="1075" w:type="dxa"/>
            <w:vAlign w:val="center"/>
          </w:tcPr>
          <w:p w14:paraId="6CE42480" w14:textId="2061DE2A"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E</w:t>
            </w:r>
            <w:r w:rsidR="00E6459F">
              <w:rPr>
                <w:color w:val="000000" w:themeColor="text1"/>
                <w:sz w:val="18"/>
                <w:szCs w:val="18"/>
              </w:rPr>
              <w:t>q</w:t>
            </w:r>
            <w:r w:rsidRPr="00A76903">
              <w:rPr>
                <w:color w:val="000000" w:themeColor="text1"/>
                <w:sz w:val="18"/>
                <w:szCs w:val="18"/>
              </w:rPr>
              <w:t>uador</w:t>
            </w:r>
            <w:proofErr w:type="spellEnd"/>
          </w:p>
        </w:tc>
        <w:tc>
          <w:tcPr>
            <w:tcW w:w="1680" w:type="dxa"/>
            <w:shd w:val="clear" w:color="auto" w:fill="AFD08D"/>
            <w:vAlign w:val="center"/>
          </w:tcPr>
          <w:p w14:paraId="07593BF6" w14:textId="5502301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AFD08D"/>
            <w:vAlign w:val="center"/>
          </w:tcPr>
          <w:p w14:paraId="055E10C8" w14:textId="4FFBEAA6"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49A178"/>
            <w:vAlign w:val="center"/>
          </w:tcPr>
          <w:p w14:paraId="04B675EB" w14:textId="0E65CBA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66D660C1" w14:textId="7242AE57"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49A178"/>
            <w:vAlign w:val="center"/>
          </w:tcPr>
          <w:p w14:paraId="494AC8A5" w14:textId="0327364C"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73C167"/>
            <w:vAlign w:val="center"/>
          </w:tcPr>
          <w:p w14:paraId="5500376F" w14:textId="115B8114"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(10)</w:t>
            </w:r>
          </w:p>
        </w:tc>
      </w:tr>
      <w:tr w:rsidR="00201CB9" w:rsidRPr="00741926" w14:paraId="4EB1A4AE" w14:textId="77777777" w:rsidTr="002453AC">
        <w:trPr>
          <w:trHeight w:val="288"/>
        </w:trPr>
        <w:tc>
          <w:tcPr>
            <w:tcW w:w="1075" w:type="dxa"/>
            <w:vAlign w:val="center"/>
          </w:tcPr>
          <w:p w14:paraId="2D658680" w14:textId="665DDF87" w:rsidR="00741926" w:rsidRPr="00A76903" w:rsidRDefault="00E6459F" w:rsidP="00563513">
            <w:pPr>
              <w:shd w:val="clear" w:color="auto" w:fill="auto"/>
              <w:spacing w:before="0" w:after="0"/>
              <w:rPr>
                <w:color w:val="000000" w:themeColor="text1"/>
                <w:sz w:val="18"/>
                <w:szCs w:val="18"/>
              </w:rPr>
            </w:pPr>
            <w:r w:rsidRPr="00A77962">
              <w:rPr>
                <w:color w:val="000000" w:themeColor="text1"/>
                <w:sz w:val="18"/>
                <w:szCs w:val="18"/>
                <w:lang w:val="pt-BR"/>
              </w:rPr>
              <w:t>Guiana Francesa (França)</w:t>
            </w:r>
          </w:p>
        </w:tc>
        <w:tc>
          <w:tcPr>
            <w:tcW w:w="1680" w:type="dxa"/>
            <w:shd w:val="clear" w:color="auto" w:fill="AFD08D"/>
            <w:vAlign w:val="center"/>
          </w:tcPr>
          <w:p w14:paraId="2AE5A5C8" w14:textId="3B43F14A"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AFD08D"/>
            <w:vAlign w:val="center"/>
          </w:tcPr>
          <w:p w14:paraId="4715B5DC" w14:textId="388C7FE5"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26EE8859" w14:textId="01135022"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01" w:type="dxa"/>
            <w:shd w:val="clear" w:color="auto" w:fill="AFD08D"/>
            <w:vAlign w:val="center"/>
          </w:tcPr>
          <w:p w14:paraId="27F1867D" w14:textId="5CF5D6F5"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77C1402D" w14:textId="5E444E1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73C167"/>
            <w:vAlign w:val="center"/>
          </w:tcPr>
          <w:p w14:paraId="4BC7E539" w14:textId="283FF428"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(8)</w:t>
            </w:r>
          </w:p>
        </w:tc>
      </w:tr>
      <w:tr w:rsidR="00201CB9" w:rsidRPr="00741926" w14:paraId="122991AB" w14:textId="77777777" w:rsidTr="002453AC">
        <w:trPr>
          <w:trHeight w:val="288"/>
        </w:trPr>
        <w:tc>
          <w:tcPr>
            <w:tcW w:w="1075" w:type="dxa"/>
            <w:vAlign w:val="center"/>
          </w:tcPr>
          <w:p w14:paraId="7D5B52D4" w14:textId="33ABF211"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Gab</w:t>
            </w:r>
            <w:r w:rsidR="00E6459F">
              <w:rPr>
                <w:color w:val="000000" w:themeColor="text1"/>
                <w:sz w:val="18"/>
                <w:szCs w:val="18"/>
              </w:rPr>
              <w:t>ão</w:t>
            </w:r>
            <w:proofErr w:type="spellEnd"/>
          </w:p>
        </w:tc>
        <w:tc>
          <w:tcPr>
            <w:tcW w:w="1680" w:type="dxa"/>
            <w:shd w:val="clear" w:color="auto" w:fill="AFD08D"/>
            <w:vAlign w:val="center"/>
          </w:tcPr>
          <w:p w14:paraId="33857E5C" w14:textId="05CB95C7"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FFD966" w:themeFill="accent4" w:themeFillTint="99"/>
            <w:vAlign w:val="center"/>
          </w:tcPr>
          <w:p w14:paraId="234D6644" w14:textId="6E3DAD0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FFD966" w:themeFill="accent4" w:themeFillTint="99"/>
            <w:vAlign w:val="center"/>
          </w:tcPr>
          <w:p w14:paraId="6B59062F" w14:textId="4F251A6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FFD966" w:themeFill="accent4" w:themeFillTint="99"/>
            <w:vAlign w:val="center"/>
          </w:tcPr>
          <w:p w14:paraId="514F1DDA" w14:textId="5D71AD8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19" w:type="dxa"/>
            <w:shd w:val="clear" w:color="auto" w:fill="AFD08D"/>
            <w:vAlign w:val="center"/>
          </w:tcPr>
          <w:p w14:paraId="633919DF" w14:textId="6D1A763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DDECD9"/>
            <w:vAlign w:val="center"/>
          </w:tcPr>
          <w:p w14:paraId="20A26C83" w14:textId="4176BF3B" w:rsidR="00741926" w:rsidRPr="00A76903" w:rsidRDefault="00841FBA" w:rsidP="00563513">
            <w:pPr>
              <w:shd w:val="clear" w:color="auto" w:fill="auto"/>
              <w:spacing w:before="0" w:after="0"/>
              <w:jc w:val="center"/>
              <w:rPr>
                <w:color w:val="000000" w:themeColor="text1"/>
                <w:sz w:val="18"/>
                <w:szCs w:val="18"/>
              </w:rPr>
            </w:pPr>
            <w:r w:rsidRPr="00A77962">
              <w:rPr>
                <w:color w:val="000000" w:themeColor="text1"/>
                <w:sz w:val="18"/>
                <w:szCs w:val="18"/>
                <w:lang w:val="pt-BR"/>
              </w:rPr>
              <w:t>Insatisfatório</w:t>
            </w:r>
            <w:r w:rsidR="00741926" w:rsidRPr="00A76903">
              <w:rPr>
                <w:color w:val="000000" w:themeColor="text1"/>
                <w:sz w:val="18"/>
                <w:szCs w:val="18"/>
              </w:rPr>
              <w:t xml:space="preserve"> (4)</w:t>
            </w:r>
          </w:p>
        </w:tc>
      </w:tr>
      <w:tr w:rsidR="00201CB9" w:rsidRPr="00741926" w14:paraId="0FBDB7E7" w14:textId="77777777" w:rsidTr="002453AC">
        <w:trPr>
          <w:trHeight w:val="288"/>
        </w:trPr>
        <w:tc>
          <w:tcPr>
            <w:tcW w:w="1075" w:type="dxa"/>
            <w:vAlign w:val="center"/>
          </w:tcPr>
          <w:p w14:paraId="2BF0574E" w14:textId="4F8865C6"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Guatemala</w:t>
            </w:r>
          </w:p>
        </w:tc>
        <w:tc>
          <w:tcPr>
            <w:tcW w:w="1680" w:type="dxa"/>
            <w:shd w:val="clear" w:color="auto" w:fill="AFD08D"/>
            <w:vAlign w:val="center"/>
          </w:tcPr>
          <w:p w14:paraId="3E520FF9" w14:textId="59F49A01"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FFD966" w:themeFill="accent4" w:themeFillTint="99"/>
            <w:vAlign w:val="center"/>
          </w:tcPr>
          <w:p w14:paraId="6D3B911E" w14:textId="17C4FD12"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FFD966" w:themeFill="accent4" w:themeFillTint="99"/>
            <w:vAlign w:val="center"/>
          </w:tcPr>
          <w:p w14:paraId="213B2356" w14:textId="7B2D53C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AFD08D"/>
            <w:vAlign w:val="center"/>
          </w:tcPr>
          <w:p w14:paraId="74C76265" w14:textId="14F515DA"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2016B9D3" w14:textId="1954042B"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DDECD9"/>
            <w:vAlign w:val="center"/>
          </w:tcPr>
          <w:p w14:paraId="22E39451" w14:textId="1ECFB9FE" w:rsidR="00741926" w:rsidRPr="00A76903" w:rsidRDefault="00841FBA" w:rsidP="00563513">
            <w:pPr>
              <w:shd w:val="clear" w:color="auto" w:fill="auto"/>
              <w:spacing w:before="0" w:after="0"/>
              <w:jc w:val="center"/>
              <w:rPr>
                <w:color w:val="000000" w:themeColor="text1"/>
                <w:sz w:val="18"/>
                <w:szCs w:val="18"/>
              </w:rPr>
            </w:pPr>
            <w:r w:rsidRPr="00A77962">
              <w:rPr>
                <w:color w:val="000000" w:themeColor="text1"/>
                <w:sz w:val="18"/>
                <w:szCs w:val="18"/>
                <w:lang w:val="pt-BR"/>
              </w:rPr>
              <w:t>Insatisfatório</w:t>
            </w:r>
            <w:r w:rsidR="00741926" w:rsidRPr="00A76903">
              <w:rPr>
                <w:color w:val="000000" w:themeColor="text1"/>
                <w:sz w:val="18"/>
                <w:szCs w:val="18"/>
              </w:rPr>
              <w:t xml:space="preserve"> (5)</w:t>
            </w:r>
          </w:p>
        </w:tc>
      </w:tr>
      <w:tr w:rsidR="00201CB9" w:rsidRPr="00741926" w14:paraId="12C15957" w14:textId="77777777" w:rsidTr="002453AC">
        <w:trPr>
          <w:trHeight w:val="288"/>
        </w:trPr>
        <w:tc>
          <w:tcPr>
            <w:tcW w:w="1075" w:type="dxa"/>
            <w:vAlign w:val="center"/>
          </w:tcPr>
          <w:p w14:paraId="6F6DFF28" w14:textId="4A4F1CCE"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Gu</w:t>
            </w:r>
            <w:r w:rsidR="00E6459F">
              <w:rPr>
                <w:color w:val="000000" w:themeColor="text1"/>
                <w:sz w:val="18"/>
                <w:szCs w:val="18"/>
              </w:rPr>
              <w:t>i</w:t>
            </w:r>
            <w:r w:rsidRPr="00A76903">
              <w:rPr>
                <w:color w:val="000000" w:themeColor="text1"/>
                <w:sz w:val="18"/>
                <w:szCs w:val="18"/>
              </w:rPr>
              <w:t>ana</w:t>
            </w:r>
          </w:p>
        </w:tc>
        <w:tc>
          <w:tcPr>
            <w:tcW w:w="1680" w:type="dxa"/>
            <w:shd w:val="clear" w:color="auto" w:fill="49A178"/>
            <w:vAlign w:val="center"/>
          </w:tcPr>
          <w:p w14:paraId="69E2A1A8" w14:textId="325F185D"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49A178"/>
            <w:vAlign w:val="center"/>
          </w:tcPr>
          <w:p w14:paraId="36609B40" w14:textId="05366621"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4</w:t>
            </w:r>
          </w:p>
        </w:tc>
        <w:tc>
          <w:tcPr>
            <w:tcW w:w="1301" w:type="dxa"/>
            <w:shd w:val="clear" w:color="auto" w:fill="49A178"/>
            <w:vAlign w:val="center"/>
          </w:tcPr>
          <w:p w14:paraId="3330AB56" w14:textId="12F8B843"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6D29C7D9" w14:textId="6AC1A5A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76E4C637" w14:textId="21FBC95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2F833F"/>
            <w:vAlign w:val="center"/>
          </w:tcPr>
          <w:p w14:paraId="41952BE2" w14:textId="223430EF"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Satisfatório</w:t>
            </w:r>
            <w:r w:rsidR="00741926" w:rsidRPr="00A76903">
              <w:rPr>
                <w:color w:val="000000" w:themeColor="text1"/>
                <w:sz w:val="18"/>
                <w:szCs w:val="18"/>
              </w:rPr>
              <w:t xml:space="preserve"> (13)</w:t>
            </w:r>
          </w:p>
        </w:tc>
      </w:tr>
      <w:tr w:rsidR="00201CB9" w:rsidRPr="00741926" w14:paraId="4AE36597" w14:textId="77777777" w:rsidTr="002453AC">
        <w:trPr>
          <w:trHeight w:val="288"/>
        </w:trPr>
        <w:tc>
          <w:tcPr>
            <w:tcW w:w="1075" w:type="dxa"/>
            <w:vAlign w:val="center"/>
          </w:tcPr>
          <w:p w14:paraId="3A7B4C88" w14:textId="4C1971AC"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Honduras</w:t>
            </w:r>
          </w:p>
        </w:tc>
        <w:tc>
          <w:tcPr>
            <w:tcW w:w="1680" w:type="dxa"/>
            <w:shd w:val="clear" w:color="auto" w:fill="49A178"/>
            <w:vAlign w:val="center"/>
          </w:tcPr>
          <w:p w14:paraId="2733D66C" w14:textId="28298B7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AFD08D"/>
            <w:vAlign w:val="center"/>
          </w:tcPr>
          <w:p w14:paraId="0AB5BEFC" w14:textId="5CD8382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vAlign w:val="center"/>
          </w:tcPr>
          <w:p w14:paraId="796C838A" w14:textId="6DF048C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w:t>
            </w:r>
          </w:p>
        </w:tc>
        <w:tc>
          <w:tcPr>
            <w:tcW w:w="1301" w:type="dxa"/>
            <w:shd w:val="clear" w:color="auto" w:fill="FFD966" w:themeFill="accent4" w:themeFillTint="99"/>
            <w:vAlign w:val="center"/>
          </w:tcPr>
          <w:p w14:paraId="52FF3599" w14:textId="3623DA3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19" w:type="dxa"/>
            <w:shd w:val="clear" w:color="auto" w:fill="AFD08D"/>
            <w:vAlign w:val="center"/>
          </w:tcPr>
          <w:p w14:paraId="23B82126" w14:textId="18787D5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73C167"/>
            <w:vAlign w:val="center"/>
          </w:tcPr>
          <w:p w14:paraId="69DC7E3A" w14:textId="7F7F9F24"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(9)</w:t>
            </w:r>
          </w:p>
        </w:tc>
      </w:tr>
      <w:tr w:rsidR="00201CB9" w:rsidRPr="00741926" w14:paraId="5722AC19" w14:textId="77777777" w:rsidTr="002453AC">
        <w:trPr>
          <w:trHeight w:val="288"/>
        </w:trPr>
        <w:tc>
          <w:tcPr>
            <w:tcW w:w="1075" w:type="dxa"/>
            <w:vAlign w:val="center"/>
          </w:tcPr>
          <w:p w14:paraId="2E6EEACD" w14:textId="617992EC"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Indon</w:t>
            </w:r>
            <w:r w:rsidR="00E6459F">
              <w:rPr>
                <w:color w:val="000000" w:themeColor="text1"/>
                <w:sz w:val="18"/>
                <w:szCs w:val="18"/>
              </w:rPr>
              <w:t>é</w:t>
            </w:r>
            <w:r w:rsidRPr="00A76903">
              <w:rPr>
                <w:color w:val="000000" w:themeColor="text1"/>
                <w:sz w:val="18"/>
                <w:szCs w:val="18"/>
              </w:rPr>
              <w:t>sia</w:t>
            </w:r>
            <w:proofErr w:type="spellEnd"/>
          </w:p>
        </w:tc>
        <w:tc>
          <w:tcPr>
            <w:tcW w:w="1680" w:type="dxa"/>
            <w:shd w:val="clear" w:color="auto" w:fill="AFD08D"/>
            <w:vAlign w:val="center"/>
          </w:tcPr>
          <w:p w14:paraId="7032913D" w14:textId="237D1C0A"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FFD966" w:themeFill="accent4" w:themeFillTint="99"/>
            <w:vAlign w:val="center"/>
          </w:tcPr>
          <w:p w14:paraId="5EFAB809" w14:textId="11A97CDC"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AFD08D"/>
            <w:vAlign w:val="center"/>
          </w:tcPr>
          <w:p w14:paraId="53731A3E" w14:textId="2E27B381"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01" w:type="dxa"/>
            <w:shd w:val="clear" w:color="auto" w:fill="AFD08D"/>
            <w:vAlign w:val="center"/>
          </w:tcPr>
          <w:p w14:paraId="01C2A8B9" w14:textId="441E1C7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49A178"/>
            <w:vAlign w:val="center"/>
          </w:tcPr>
          <w:p w14:paraId="23CF7FC6" w14:textId="523657A5"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DDECD9"/>
            <w:vAlign w:val="center"/>
          </w:tcPr>
          <w:p w14:paraId="6A659C1B" w14:textId="0ED40DF1" w:rsidR="00741926" w:rsidRPr="00A76903" w:rsidRDefault="00841FBA" w:rsidP="00563513">
            <w:pPr>
              <w:shd w:val="clear" w:color="auto" w:fill="auto"/>
              <w:spacing w:before="0" w:after="0"/>
              <w:jc w:val="center"/>
              <w:rPr>
                <w:color w:val="000000" w:themeColor="text1"/>
                <w:sz w:val="18"/>
                <w:szCs w:val="18"/>
              </w:rPr>
            </w:pPr>
            <w:r w:rsidRPr="00A77962">
              <w:rPr>
                <w:color w:val="000000" w:themeColor="text1"/>
                <w:sz w:val="18"/>
                <w:szCs w:val="18"/>
                <w:lang w:val="pt-BR"/>
              </w:rPr>
              <w:t>Insatisfatório</w:t>
            </w:r>
            <w:r w:rsidR="00741926" w:rsidRPr="00A76903">
              <w:rPr>
                <w:color w:val="000000" w:themeColor="text1"/>
                <w:sz w:val="18"/>
                <w:szCs w:val="18"/>
              </w:rPr>
              <w:t xml:space="preserve"> (7)</w:t>
            </w:r>
          </w:p>
        </w:tc>
      </w:tr>
      <w:tr w:rsidR="00201CB9" w:rsidRPr="00741926" w14:paraId="3DFAC1D7" w14:textId="77777777" w:rsidTr="002453AC">
        <w:trPr>
          <w:trHeight w:val="288"/>
        </w:trPr>
        <w:tc>
          <w:tcPr>
            <w:tcW w:w="1075" w:type="dxa"/>
            <w:vAlign w:val="center"/>
          </w:tcPr>
          <w:p w14:paraId="2CEBE8E8" w14:textId="18746474"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M</w:t>
            </w:r>
            <w:r w:rsidR="00E6459F">
              <w:rPr>
                <w:color w:val="000000" w:themeColor="text1"/>
                <w:sz w:val="18"/>
                <w:szCs w:val="18"/>
              </w:rPr>
              <w:t>é</w:t>
            </w:r>
            <w:r w:rsidRPr="00A76903">
              <w:rPr>
                <w:color w:val="000000" w:themeColor="text1"/>
                <w:sz w:val="18"/>
                <w:szCs w:val="18"/>
              </w:rPr>
              <w:t>xico</w:t>
            </w:r>
          </w:p>
        </w:tc>
        <w:tc>
          <w:tcPr>
            <w:tcW w:w="1680" w:type="dxa"/>
            <w:shd w:val="clear" w:color="auto" w:fill="49A178"/>
            <w:vAlign w:val="center"/>
          </w:tcPr>
          <w:p w14:paraId="7152E2BF" w14:textId="209F53C9"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49A178"/>
            <w:vAlign w:val="center"/>
          </w:tcPr>
          <w:p w14:paraId="13D1AAC2" w14:textId="1B5E0F4D"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4</w:t>
            </w:r>
          </w:p>
        </w:tc>
        <w:tc>
          <w:tcPr>
            <w:tcW w:w="1301" w:type="dxa"/>
            <w:shd w:val="clear" w:color="auto" w:fill="49A178"/>
            <w:vAlign w:val="center"/>
          </w:tcPr>
          <w:p w14:paraId="6D908135" w14:textId="027DC92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49A178"/>
            <w:vAlign w:val="center"/>
          </w:tcPr>
          <w:p w14:paraId="5BB9B8F3" w14:textId="2E9B92C6"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19" w:type="dxa"/>
            <w:shd w:val="clear" w:color="auto" w:fill="49A178"/>
            <w:vAlign w:val="center"/>
          </w:tcPr>
          <w:p w14:paraId="7EF9354A" w14:textId="215A7E17"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73" w:type="dxa"/>
            <w:shd w:val="clear" w:color="auto" w:fill="2F833F"/>
            <w:vAlign w:val="center"/>
          </w:tcPr>
          <w:p w14:paraId="397E511E" w14:textId="66420103"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Satisfatório</w:t>
            </w:r>
            <w:r w:rsidR="00741926" w:rsidRPr="00A76903">
              <w:rPr>
                <w:color w:val="000000" w:themeColor="text1"/>
                <w:sz w:val="18"/>
                <w:szCs w:val="18"/>
              </w:rPr>
              <w:t xml:space="preserve"> (15)</w:t>
            </w:r>
          </w:p>
        </w:tc>
      </w:tr>
      <w:tr w:rsidR="00201CB9" w:rsidRPr="00741926" w14:paraId="78AB2473" w14:textId="77777777" w:rsidTr="002453AC">
        <w:trPr>
          <w:trHeight w:val="288"/>
        </w:trPr>
        <w:tc>
          <w:tcPr>
            <w:tcW w:w="1075" w:type="dxa"/>
            <w:vAlign w:val="center"/>
          </w:tcPr>
          <w:p w14:paraId="04B33E77" w14:textId="5164BADB" w:rsidR="00741926" w:rsidRPr="00A76903" w:rsidRDefault="00741926" w:rsidP="00563513">
            <w:pPr>
              <w:shd w:val="clear" w:color="auto" w:fill="auto"/>
              <w:spacing w:before="0" w:after="0"/>
              <w:rPr>
                <w:color w:val="000000" w:themeColor="text1"/>
                <w:sz w:val="18"/>
                <w:szCs w:val="18"/>
              </w:rPr>
            </w:pPr>
            <w:proofErr w:type="spellStart"/>
            <w:r w:rsidRPr="00A76903">
              <w:rPr>
                <w:color w:val="000000" w:themeColor="text1"/>
                <w:sz w:val="18"/>
                <w:szCs w:val="18"/>
              </w:rPr>
              <w:t>Nicar</w:t>
            </w:r>
            <w:r w:rsidR="00E6459F">
              <w:rPr>
                <w:color w:val="000000" w:themeColor="text1"/>
                <w:sz w:val="18"/>
                <w:szCs w:val="18"/>
              </w:rPr>
              <w:t>á</w:t>
            </w:r>
            <w:r w:rsidRPr="00A76903">
              <w:rPr>
                <w:color w:val="000000" w:themeColor="text1"/>
                <w:sz w:val="18"/>
                <w:szCs w:val="18"/>
              </w:rPr>
              <w:t>gua</w:t>
            </w:r>
            <w:proofErr w:type="spellEnd"/>
          </w:p>
        </w:tc>
        <w:tc>
          <w:tcPr>
            <w:tcW w:w="1680" w:type="dxa"/>
            <w:shd w:val="clear" w:color="auto" w:fill="AFD08D"/>
            <w:vAlign w:val="center"/>
          </w:tcPr>
          <w:p w14:paraId="6B7016F2" w14:textId="5997B9A6"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shd w:val="clear" w:color="auto" w:fill="FFD966" w:themeFill="accent4" w:themeFillTint="99"/>
            <w:vAlign w:val="center"/>
          </w:tcPr>
          <w:p w14:paraId="462D3933" w14:textId="2CB9FF08"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vAlign w:val="center"/>
          </w:tcPr>
          <w:p w14:paraId="4FF839F6" w14:textId="767994B1"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w:t>
            </w:r>
          </w:p>
        </w:tc>
        <w:tc>
          <w:tcPr>
            <w:tcW w:w="1301" w:type="dxa"/>
            <w:shd w:val="clear" w:color="auto" w:fill="AFD08D"/>
            <w:vAlign w:val="center"/>
          </w:tcPr>
          <w:p w14:paraId="00D46372" w14:textId="314A52B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6EF7AE0E" w14:textId="0B553A63"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DDECD9"/>
            <w:vAlign w:val="center"/>
          </w:tcPr>
          <w:p w14:paraId="2EDD3E48" w14:textId="14B7949F" w:rsidR="00741926" w:rsidRPr="00A76903" w:rsidRDefault="00841FBA" w:rsidP="00563513">
            <w:pPr>
              <w:shd w:val="clear" w:color="auto" w:fill="auto"/>
              <w:spacing w:before="0" w:after="0"/>
              <w:jc w:val="center"/>
              <w:rPr>
                <w:color w:val="000000" w:themeColor="text1"/>
                <w:sz w:val="18"/>
                <w:szCs w:val="18"/>
              </w:rPr>
            </w:pPr>
            <w:r w:rsidRPr="00A77962">
              <w:rPr>
                <w:color w:val="000000" w:themeColor="text1"/>
                <w:sz w:val="18"/>
                <w:szCs w:val="18"/>
                <w:lang w:val="pt-BR"/>
              </w:rPr>
              <w:t>Insatisfatório</w:t>
            </w:r>
            <w:r w:rsidR="00741926" w:rsidRPr="00A76903">
              <w:rPr>
                <w:color w:val="000000" w:themeColor="text1"/>
                <w:sz w:val="18"/>
                <w:szCs w:val="18"/>
              </w:rPr>
              <w:t xml:space="preserve"> (5)</w:t>
            </w:r>
          </w:p>
        </w:tc>
      </w:tr>
      <w:tr w:rsidR="00201CB9" w:rsidRPr="00741926" w14:paraId="2E17285E" w14:textId="77777777" w:rsidTr="002453AC">
        <w:trPr>
          <w:trHeight w:val="288"/>
        </w:trPr>
        <w:tc>
          <w:tcPr>
            <w:tcW w:w="1075" w:type="dxa"/>
            <w:vAlign w:val="center"/>
          </w:tcPr>
          <w:p w14:paraId="350542D3" w14:textId="7C9188BF"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Panam</w:t>
            </w:r>
            <w:r w:rsidR="00E6459F">
              <w:rPr>
                <w:color w:val="000000" w:themeColor="text1"/>
                <w:sz w:val="18"/>
                <w:szCs w:val="18"/>
              </w:rPr>
              <w:t>á</w:t>
            </w:r>
          </w:p>
        </w:tc>
        <w:tc>
          <w:tcPr>
            <w:tcW w:w="1680" w:type="dxa"/>
            <w:shd w:val="clear" w:color="auto" w:fill="49A178"/>
            <w:vAlign w:val="center"/>
          </w:tcPr>
          <w:p w14:paraId="25E15C17" w14:textId="24395851"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AFD08D"/>
            <w:vAlign w:val="center"/>
          </w:tcPr>
          <w:p w14:paraId="5196A41D" w14:textId="46FDE3C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1B22CA7F" w14:textId="15194183"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01" w:type="dxa"/>
            <w:shd w:val="clear" w:color="auto" w:fill="AFD08D"/>
            <w:vAlign w:val="center"/>
          </w:tcPr>
          <w:p w14:paraId="20BF3B70" w14:textId="04F2F2B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6357EE3C" w14:textId="775726AE"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73C167"/>
            <w:vAlign w:val="center"/>
          </w:tcPr>
          <w:p w14:paraId="3F5B56A1" w14:textId="3FE2EB8B"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Parcialmente Satisfatório</w:t>
            </w:r>
            <w:r w:rsidR="00741926" w:rsidRPr="00A76903">
              <w:rPr>
                <w:color w:val="000000" w:themeColor="text1"/>
                <w:sz w:val="18"/>
                <w:szCs w:val="18"/>
              </w:rPr>
              <w:t xml:space="preserve"> (10)</w:t>
            </w:r>
          </w:p>
        </w:tc>
      </w:tr>
      <w:tr w:rsidR="00201CB9" w:rsidRPr="00741926" w14:paraId="0ABE47E2" w14:textId="77777777" w:rsidTr="002453AC">
        <w:trPr>
          <w:trHeight w:val="288"/>
        </w:trPr>
        <w:tc>
          <w:tcPr>
            <w:tcW w:w="1075" w:type="dxa"/>
            <w:vAlign w:val="center"/>
          </w:tcPr>
          <w:p w14:paraId="6C9CF6ED" w14:textId="2FA8DBF6"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Peru</w:t>
            </w:r>
          </w:p>
        </w:tc>
        <w:tc>
          <w:tcPr>
            <w:tcW w:w="1680" w:type="dxa"/>
            <w:shd w:val="clear" w:color="auto" w:fill="49A178"/>
            <w:vAlign w:val="center"/>
          </w:tcPr>
          <w:p w14:paraId="5CB9CC92" w14:textId="29BB0FE9"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49A178"/>
            <w:vAlign w:val="center"/>
          </w:tcPr>
          <w:p w14:paraId="5EE9DB39" w14:textId="085E17A5"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4</w:t>
            </w:r>
          </w:p>
        </w:tc>
        <w:tc>
          <w:tcPr>
            <w:tcW w:w="1301" w:type="dxa"/>
            <w:shd w:val="clear" w:color="auto" w:fill="49A178"/>
            <w:vAlign w:val="center"/>
          </w:tcPr>
          <w:p w14:paraId="4C8BFFE9" w14:textId="1CBDB8AF"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2</w:t>
            </w:r>
          </w:p>
        </w:tc>
        <w:tc>
          <w:tcPr>
            <w:tcW w:w="1301" w:type="dxa"/>
            <w:shd w:val="clear" w:color="auto" w:fill="AFD08D"/>
            <w:vAlign w:val="center"/>
          </w:tcPr>
          <w:p w14:paraId="31E55E32" w14:textId="3562DDB4"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475B61C1" w14:textId="2CE00AD9"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2F833F"/>
            <w:vAlign w:val="center"/>
          </w:tcPr>
          <w:p w14:paraId="17C20ECB" w14:textId="54B68A40" w:rsidR="00741926" w:rsidRPr="00A76903" w:rsidRDefault="00E6459F" w:rsidP="00563513">
            <w:pPr>
              <w:shd w:val="clear" w:color="auto" w:fill="auto"/>
              <w:spacing w:before="0" w:after="0"/>
              <w:jc w:val="center"/>
              <w:rPr>
                <w:color w:val="000000" w:themeColor="text1"/>
                <w:sz w:val="18"/>
                <w:szCs w:val="18"/>
              </w:rPr>
            </w:pPr>
            <w:r w:rsidRPr="00A77962">
              <w:rPr>
                <w:color w:val="000000" w:themeColor="text1"/>
                <w:sz w:val="18"/>
                <w:szCs w:val="18"/>
                <w:lang w:val="pt-BR"/>
              </w:rPr>
              <w:t>Satisfatório</w:t>
            </w:r>
            <w:r w:rsidR="00741926" w:rsidRPr="00A76903">
              <w:rPr>
                <w:color w:val="000000" w:themeColor="text1"/>
                <w:sz w:val="18"/>
                <w:szCs w:val="18"/>
              </w:rPr>
              <w:t xml:space="preserve"> (13)</w:t>
            </w:r>
          </w:p>
        </w:tc>
      </w:tr>
      <w:tr w:rsidR="00201CB9" w:rsidRPr="00741926" w14:paraId="5C4E71CA" w14:textId="77777777" w:rsidTr="002453AC">
        <w:trPr>
          <w:trHeight w:val="288"/>
        </w:trPr>
        <w:tc>
          <w:tcPr>
            <w:tcW w:w="1075" w:type="dxa"/>
            <w:vAlign w:val="center"/>
          </w:tcPr>
          <w:p w14:paraId="363FB453" w14:textId="7C0B386B" w:rsidR="00741926" w:rsidRPr="00A76903" w:rsidRDefault="00741926" w:rsidP="00563513">
            <w:pPr>
              <w:shd w:val="clear" w:color="auto" w:fill="auto"/>
              <w:spacing w:before="0" w:after="0"/>
              <w:rPr>
                <w:color w:val="000000" w:themeColor="text1"/>
                <w:sz w:val="18"/>
                <w:szCs w:val="18"/>
              </w:rPr>
            </w:pPr>
            <w:r w:rsidRPr="00A76903">
              <w:rPr>
                <w:color w:val="000000" w:themeColor="text1"/>
                <w:sz w:val="18"/>
                <w:szCs w:val="18"/>
              </w:rPr>
              <w:t>Suriname</w:t>
            </w:r>
          </w:p>
        </w:tc>
        <w:tc>
          <w:tcPr>
            <w:tcW w:w="1680" w:type="dxa"/>
            <w:shd w:val="clear" w:color="auto" w:fill="FFD966" w:themeFill="accent4" w:themeFillTint="99"/>
            <w:vAlign w:val="center"/>
          </w:tcPr>
          <w:p w14:paraId="44F5B3B0" w14:textId="4DD74F90"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AFD08D"/>
            <w:vAlign w:val="center"/>
          </w:tcPr>
          <w:p w14:paraId="20FB311E" w14:textId="581431B6"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3</w:t>
            </w:r>
          </w:p>
        </w:tc>
        <w:tc>
          <w:tcPr>
            <w:tcW w:w="1301" w:type="dxa"/>
            <w:vAlign w:val="center"/>
          </w:tcPr>
          <w:p w14:paraId="5F981EFE" w14:textId="19C3EA43"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w:t>
            </w:r>
          </w:p>
        </w:tc>
        <w:tc>
          <w:tcPr>
            <w:tcW w:w="1301" w:type="dxa"/>
            <w:shd w:val="clear" w:color="auto" w:fill="AFD08D"/>
            <w:vAlign w:val="center"/>
          </w:tcPr>
          <w:p w14:paraId="69E9E0F8" w14:textId="0BFEC956"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19" w:type="dxa"/>
            <w:shd w:val="clear" w:color="auto" w:fill="AFD08D"/>
            <w:vAlign w:val="center"/>
          </w:tcPr>
          <w:p w14:paraId="4C687D1C" w14:textId="487E962C" w:rsidR="00741926" w:rsidRPr="00A76903" w:rsidRDefault="00741926"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DDECD9"/>
            <w:vAlign w:val="center"/>
          </w:tcPr>
          <w:p w14:paraId="5F946E0A" w14:textId="27A3767F" w:rsidR="00741926" w:rsidRPr="00A76903" w:rsidRDefault="00841FBA" w:rsidP="00563513">
            <w:pPr>
              <w:shd w:val="clear" w:color="auto" w:fill="auto"/>
              <w:spacing w:before="0" w:after="0"/>
              <w:jc w:val="center"/>
              <w:rPr>
                <w:color w:val="000000" w:themeColor="text1"/>
                <w:sz w:val="18"/>
                <w:szCs w:val="18"/>
              </w:rPr>
            </w:pPr>
            <w:r w:rsidRPr="00A77962">
              <w:rPr>
                <w:color w:val="000000" w:themeColor="text1"/>
                <w:sz w:val="18"/>
                <w:szCs w:val="18"/>
                <w:lang w:val="pt-BR"/>
              </w:rPr>
              <w:t>Insatisfatório</w:t>
            </w:r>
            <w:r w:rsidR="00741926" w:rsidRPr="00A76903">
              <w:rPr>
                <w:color w:val="000000" w:themeColor="text1"/>
                <w:sz w:val="18"/>
                <w:szCs w:val="18"/>
              </w:rPr>
              <w:t xml:space="preserve"> (5)</w:t>
            </w:r>
          </w:p>
        </w:tc>
      </w:tr>
      <w:tr w:rsidR="00201CB9" w:rsidRPr="00741926" w14:paraId="638BFE31" w14:textId="77777777" w:rsidTr="002453AC">
        <w:trPr>
          <w:trHeight w:val="288"/>
        </w:trPr>
        <w:tc>
          <w:tcPr>
            <w:tcW w:w="1075" w:type="dxa"/>
            <w:vAlign w:val="center"/>
          </w:tcPr>
          <w:p w14:paraId="04A36CBB" w14:textId="1580420C" w:rsidR="00D33B10" w:rsidRPr="00A76903" w:rsidRDefault="00D33B10" w:rsidP="00563513">
            <w:pPr>
              <w:shd w:val="clear" w:color="auto" w:fill="auto"/>
              <w:spacing w:before="0" w:after="0"/>
              <w:rPr>
                <w:color w:val="000000" w:themeColor="text1"/>
                <w:sz w:val="18"/>
                <w:szCs w:val="18"/>
              </w:rPr>
            </w:pPr>
            <w:r w:rsidRPr="00A76903">
              <w:rPr>
                <w:color w:val="000000" w:themeColor="text1"/>
                <w:sz w:val="18"/>
                <w:szCs w:val="18"/>
              </w:rPr>
              <w:t>Venezuela</w:t>
            </w:r>
          </w:p>
        </w:tc>
        <w:tc>
          <w:tcPr>
            <w:tcW w:w="1680" w:type="dxa"/>
            <w:shd w:val="clear" w:color="auto" w:fill="49A178"/>
            <w:vAlign w:val="center"/>
          </w:tcPr>
          <w:p w14:paraId="0C8EE916" w14:textId="74727676" w:rsidR="00D33B10" w:rsidRPr="00A76903" w:rsidRDefault="00D33B10" w:rsidP="00563513">
            <w:pPr>
              <w:shd w:val="clear" w:color="auto" w:fill="auto"/>
              <w:spacing w:before="0" w:after="0"/>
              <w:jc w:val="center"/>
              <w:rPr>
                <w:color w:val="000000" w:themeColor="text1"/>
                <w:sz w:val="18"/>
                <w:szCs w:val="18"/>
              </w:rPr>
            </w:pPr>
            <w:r w:rsidRPr="00A76903">
              <w:rPr>
                <w:color w:val="000000" w:themeColor="text1"/>
                <w:sz w:val="18"/>
                <w:szCs w:val="18"/>
              </w:rPr>
              <w:t>5</w:t>
            </w:r>
          </w:p>
        </w:tc>
        <w:tc>
          <w:tcPr>
            <w:tcW w:w="1301" w:type="dxa"/>
            <w:shd w:val="clear" w:color="auto" w:fill="FFD966" w:themeFill="accent4" w:themeFillTint="99"/>
            <w:vAlign w:val="center"/>
          </w:tcPr>
          <w:p w14:paraId="6190B417" w14:textId="66377E3B" w:rsidR="00D33B10" w:rsidRPr="00A76903" w:rsidRDefault="00D33B10"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FFD966" w:themeFill="accent4" w:themeFillTint="99"/>
            <w:vAlign w:val="center"/>
          </w:tcPr>
          <w:p w14:paraId="0759B64E" w14:textId="79F296E4" w:rsidR="00D33B10" w:rsidRPr="00A76903" w:rsidRDefault="00D33B10"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01" w:type="dxa"/>
            <w:shd w:val="clear" w:color="auto" w:fill="FFD966" w:themeFill="accent4" w:themeFillTint="99"/>
            <w:vAlign w:val="center"/>
          </w:tcPr>
          <w:p w14:paraId="17B38556" w14:textId="6A939386" w:rsidR="00D33B10" w:rsidRPr="00A76903" w:rsidRDefault="00D33B10" w:rsidP="00563513">
            <w:pPr>
              <w:shd w:val="clear" w:color="auto" w:fill="auto"/>
              <w:spacing w:before="0" w:after="0"/>
              <w:jc w:val="center"/>
              <w:rPr>
                <w:color w:val="000000" w:themeColor="text1"/>
                <w:sz w:val="18"/>
                <w:szCs w:val="18"/>
              </w:rPr>
            </w:pPr>
            <w:r w:rsidRPr="00A76903">
              <w:rPr>
                <w:color w:val="000000" w:themeColor="text1"/>
                <w:sz w:val="18"/>
                <w:szCs w:val="18"/>
              </w:rPr>
              <w:t>0</w:t>
            </w:r>
          </w:p>
        </w:tc>
        <w:tc>
          <w:tcPr>
            <w:tcW w:w="1319" w:type="dxa"/>
            <w:shd w:val="clear" w:color="auto" w:fill="AFD08D"/>
            <w:vAlign w:val="center"/>
          </w:tcPr>
          <w:p w14:paraId="5D0EF428" w14:textId="3A8F6EB2" w:rsidR="00D33B10" w:rsidRPr="00A76903" w:rsidRDefault="00D33B10" w:rsidP="00563513">
            <w:pPr>
              <w:shd w:val="clear" w:color="auto" w:fill="auto"/>
              <w:spacing w:before="0" w:after="0"/>
              <w:jc w:val="center"/>
              <w:rPr>
                <w:color w:val="000000" w:themeColor="text1"/>
                <w:sz w:val="18"/>
                <w:szCs w:val="18"/>
              </w:rPr>
            </w:pPr>
            <w:r w:rsidRPr="00A76903">
              <w:rPr>
                <w:color w:val="000000" w:themeColor="text1"/>
                <w:sz w:val="18"/>
                <w:szCs w:val="18"/>
              </w:rPr>
              <w:t>1</w:t>
            </w:r>
          </w:p>
        </w:tc>
        <w:tc>
          <w:tcPr>
            <w:tcW w:w="1373" w:type="dxa"/>
            <w:shd w:val="clear" w:color="auto" w:fill="DDECD9"/>
            <w:vAlign w:val="center"/>
          </w:tcPr>
          <w:p w14:paraId="21B97A0D" w14:textId="12AAD507" w:rsidR="00D33B10" w:rsidRPr="00A76903" w:rsidRDefault="00841FBA" w:rsidP="00563513">
            <w:pPr>
              <w:shd w:val="clear" w:color="auto" w:fill="auto"/>
              <w:spacing w:before="0" w:after="0"/>
              <w:jc w:val="center"/>
              <w:rPr>
                <w:color w:val="000000" w:themeColor="text1"/>
                <w:sz w:val="18"/>
                <w:szCs w:val="18"/>
              </w:rPr>
            </w:pPr>
            <w:r w:rsidRPr="00A77962">
              <w:rPr>
                <w:color w:val="000000" w:themeColor="text1"/>
                <w:sz w:val="18"/>
                <w:szCs w:val="18"/>
                <w:lang w:val="pt-BR"/>
              </w:rPr>
              <w:t>Insatisfatório</w:t>
            </w:r>
            <w:r w:rsidR="00D33B10" w:rsidRPr="00A76903">
              <w:rPr>
                <w:color w:val="000000" w:themeColor="text1"/>
                <w:sz w:val="18"/>
                <w:szCs w:val="18"/>
              </w:rPr>
              <w:t xml:space="preserve"> (6)</w:t>
            </w:r>
          </w:p>
        </w:tc>
      </w:tr>
    </w:tbl>
    <w:p w14:paraId="5829F8EE" w14:textId="77777777" w:rsidR="001E07A0" w:rsidRDefault="001E07A0" w:rsidP="00D76530"/>
    <w:p w14:paraId="22DFAE11" w14:textId="52C5C284" w:rsidR="001E07A0" w:rsidRPr="001E07A0" w:rsidRDefault="00841FBA" w:rsidP="00DA002E">
      <w:pPr>
        <w:pStyle w:val="Heading1"/>
      </w:pPr>
      <w:bookmarkStart w:id="11" w:name="_Toc103764064"/>
      <w:r w:rsidRPr="00A77962">
        <w:rPr>
          <w:lang w:val="pt-BR"/>
        </w:rPr>
        <w:t>Próximos passos</w:t>
      </w:r>
      <w:bookmarkEnd w:id="11"/>
    </w:p>
    <w:p w14:paraId="7A2590D9" w14:textId="1447EB6E" w:rsidR="001E07A0" w:rsidRDefault="00841FBA" w:rsidP="001E07A0">
      <w:pPr>
        <w:jc w:val="both"/>
      </w:pPr>
      <w:r>
        <w:rPr>
          <w:lang w:val="pt-BR"/>
        </w:rPr>
        <w:t>A</w:t>
      </w:r>
      <w:r w:rsidRPr="00A77962">
        <w:rPr>
          <w:lang w:val="pt-BR"/>
        </w:rPr>
        <w:t xml:space="preserve"> </w:t>
      </w:r>
      <w:r>
        <w:rPr>
          <w:lang w:val="pt-BR"/>
        </w:rPr>
        <w:t>Estrutura de Oportunidades</w:t>
      </w:r>
      <w:r w:rsidRPr="00A77962">
        <w:rPr>
          <w:lang w:val="pt-BR"/>
        </w:rPr>
        <w:t xml:space="preserve"> é um instrumento em evolução projetado para apoiar as partes interessadas na adaptação de suas intervenções para responder às necessidades específicas de cada país para fortalecer as condições favoráveis para o avanço das reformas de posse e segurança de posse. Os esforços futuros continuarão a atualizar e refinar periodicamente os métodos e avaliações da Estrutura de Oportunidades para refletir as mudanças nas oportunidades de promover os direitos de posse florestal dos Povos Indígenas, Povos Afrodescendentes e das </w:t>
      </w:r>
      <w:r>
        <w:rPr>
          <w:lang w:val="pt-BR"/>
        </w:rPr>
        <w:t>C</w:t>
      </w:r>
      <w:r w:rsidRPr="00A77962">
        <w:rPr>
          <w:lang w:val="pt-BR"/>
        </w:rPr>
        <w:t>omunidades locais.</w:t>
      </w:r>
    </w:p>
    <w:p w14:paraId="1B198751" w14:textId="3CFD3012" w:rsidR="00BA5AC0" w:rsidRPr="00F505FE" w:rsidRDefault="00BA5AC0" w:rsidP="001E07A0">
      <w:pPr>
        <w:jc w:val="both"/>
      </w:pPr>
      <w:r>
        <w:br w:type="page"/>
      </w:r>
    </w:p>
    <w:p w14:paraId="5C3FC03B" w14:textId="08C43A4D" w:rsidR="005E201C" w:rsidRDefault="00841FBA" w:rsidP="00A22EC3">
      <w:pPr>
        <w:pStyle w:val="Heading1"/>
      </w:pPr>
      <w:bookmarkStart w:id="12" w:name="_Toc88152155"/>
      <w:bookmarkStart w:id="13" w:name="_Toc88152361"/>
      <w:bookmarkStart w:id="14" w:name="_Toc103764065"/>
      <w:proofErr w:type="spellStart"/>
      <w:r>
        <w:lastRenderedPageBreak/>
        <w:t>Sobre</w:t>
      </w:r>
      <w:proofErr w:type="spellEnd"/>
      <w:r>
        <w:t xml:space="preserve"> a</w:t>
      </w:r>
      <w:r w:rsidR="00A22EC3">
        <w:t xml:space="preserve"> Rights and Resources Initiative</w:t>
      </w:r>
      <w:bookmarkEnd w:id="12"/>
      <w:bookmarkEnd w:id="13"/>
      <w:bookmarkEnd w:id="14"/>
    </w:p>
    <w:p w14:paraId="0A67A0D7" w14:textId="77777777" w:rsidR="00841FBA" w:rsidRPr="00A77962" w:rsidRDefault="00841FBA" w:rsidP="00841FBA">
      <w:pPr>
        <w:jc w:val="both"/>
        <w:rPr>
          <w:shd w:val="clear" w:color="auto" w:fill="FFFFFF"/>
          <w:lang w:val="pt-BR"/>
        </w:rPr>
      </w:pPr>
      <w:bookmarkStart w:id="15" w:name="_Hlk45028055"/>
      <w:r w:rsidRPr="00A77962">
        <w:rPr>
          <w:shd w:val="clear" w:color="auto" w:fill="FFFFFF"/>
          <w:lang w:val="pt-BR"/>
        </w:rPr>
        <w:t>é uma coalizão global de 21 parceiros e mais de 150 organizações de detentores de direitos e seus aliados dedicados a promover as terras florestais e os direitos aos recursos dos povos indígenas, afrodescendentes, comunidades locais e mulheres nessas comunidades. Os membros capitalizam os pontos fortes, experiência e alcance geográfico uns dos outros para alcançar soluções de forma mais eficaz e eficiente. A RRI alavanca o poder de sua coalizão global para amplificar as vozes dos povos locais e envolver de forma proativa governos, instituições multilaterais e atores do setor privado na adoção de reformas institucionais e de mercado que apoiem ​​a realização de seus direitos e o desenvolvimento autodeterminado. Ao promover uma compreensão estratégica das ameaças e oportunidades globais resultantes de direitos inseguros de terras e recursos, a RRI desenvolve e promove abordagens baseadas em direitos para negócios e desenvolvimento e catalisa soluções eficazes para ampliar a reforma da posse rural e melhorar a governança de recursos sustentáveis.</w:t>
      </w:r>
    </w:p>
    <w:p w14:paraId="6B7C2009" w14:textId="44920D9B" w:rsidR="002B6ED4" w:rsidRPr="00F33654" w:rsidRDefault="00841FBA" w:rsidP="00841FBA">
      <w:pPr>
        <w:jc w:val="both"/>
      </w:pPr>
      <w:r>
        <w:rPr>
          <w:shd w:val="clear" w:color="auto" w:fill="FFFFFF"/>
          <w:lang w:val="pt-BR"/>
        </w:rPr>
        <w:t>A</w:t>
      </w:r>
      <w:r w:rsidRPr="00A77962">
        <w:rPr>
          <w:shd w:val="clear" w:color="auto" w:fill="FFFFFF"/>
          <w:lang w:val="pt-BR"/>
        </w:rPr>
        <w:t xml:space="preserve"> RRI é coordenad</w:t>
      </w:r>
      <w:r>
        <w:rPr>
          <w:shd w:val="clear" w:color="auto" w:fill="FFFFFF"/>
          <w:lang w:val="pt-BR"/>
        </w:rPr>
        <w:t>a</w:t>
      </w:r>
      <w:r w:rsidRPr="00A77962">
        <w:rPr>
          <w:shd w:val="clear" w:color="auto" w:fill="FFFFFF"/>
          <w:lang w:val="pt-BR"/>
        </w:rPr>
        <w:t xml:space="preserve"> pelo </w:t>
      </w:r>
      <w:proofErr w:type="spellStart"/>
      <w:r w:rsidRPr="00A77962">
        <w:rPr>
          <w:shd w:val="clear" w:color="auto" w:fill="FFFFFF"/>
          <w:lang w:val="pt-BR"/>
        </w:rPr>
        <w:t>Rights</w:t>
      </w:r>
      <w:proofErr w:type="spellEnd"/>
      <w:r w:rsidRPr="00A77962">
        <w:rPr>
          <w:shd w:val="clear" w:color="auto" w:fill="FFFFFF"/>
          <w:lang w:val="pt-BR"/>
        </w:rPr>
        <w:t xml:space="preserve"> </w:t>
      </w:r>
      <w:proofErr w:type="spellStart"/>
      <w:r w:rsidRPr="00A77962">
        <w:rPr>
          <w:shd w:val="clear" w:color="auto" w:fill="FFFFFF"/>
          <w:lang w:val="pt-BR"/>
        </w:rPr>
        <w:t>and</w:t>
      </w:r>
      <w:proofErr w:type="spellEnd"/>
      <w:r w:rsidRPr="00A77962">
        <w:rPr>
          <w:shd w:val="clear" w:color="auto" w:fill="FFFFFF"/>
          <w:lang w:val="pt-BR"/>
        </w:rPr>
        <w:t xml:space="preserve"> </w:t>
      </w:r>
      <w:proofErr w:type="spellStart"/>
      <w:r w:rsidRPr="00A77962">
        <w:rPr>
          <w:shd w:val="clear" w:color="auto" w:fill="FFFFFF"/>
          <w:lang w:val="pt-BR"/>
        </w:rPr>
        <w:t>Resources</w:t>
      </w:r>
      <w:proofErr w:type="spellEnd"/>
      <w:r w:rsidRPr="00A77962">
        <w:rPr>
          <w:shd w:val="clear" w:color="auto" w:fill="FFFFFF"/>
          <w:lang w:val="pt-BR"/>
        </w:rPr>
        <w:t xml:space="preserve"> </w:t>
      </w:r>
      <w:proofErr w:type="spellStart"/>
      <w:r w:rsidRPr="00A77962">
        <w:rPr>
          <w:shd w:val="clear" w:color="auto" w:fill="FFFFFF"/>
          <w:lang w:val="pt-BR"/>
        </w:rPr>
        <w:t>Group</w:t>
      </w:r>
      <w:proofErr w:type="spellEnd"/>
      <w:r w:rsidRPr="00A77962">
        <w:rPr>
          <w:shd w:val="clear" w:color="auto" w:fill="FFFFFF"/>
          <w:lang w:val="pt-BR"/>
        </w:rPr>
        <w:t>, uma organização sem fins lucrativos com sede em Washington, D.C. Para obter mais informações, visite</w:t>
      </w:r>
      <w:r w:rsidR="002B6ED4" w:rsidRPr="00F33654">
        <w:t xml:space="preserve"> </w:t>
      </w:r>
      <w:hyperlink r:id="rId11" w:history="1">
        <w:r w:rsidR="002B6ED4" w:rsidRPr="00F33654">
          <w:rPr>
            <w:rStyle w:val="Hyperlink"/>
          </w:rPr>
          <w:t>www.rightsandresources.org</w:t>
        </w:r>
      </w:hyperlink>
      <w:r w:rsidR="002B6ED4" w:rsidRPr="00F33654">
        <w:t>.</w:t>
      </w:r>
      <w:bookmarkEnd w:id="15"/>
      <w:r w:rsidR="002B6ED4" w:rsidRPr="00F33654">
        <w:t xml:space="preserve"> </w:t>
      </w:r>
    </w:p>
    <w:p w14:paraId="13E5ED1D" w14:textId="77777777" w:rsidR="00DC4FD8" w:rsidRDefault="00DC4FD8" w:rsidP="00A22EC3">
      <w:r>
        <w:rPr>
          <w:noProof/>
        </w:rPr>
        <w:drawing>
          <wp:inline distT="0" distB="0" distL="0" distR="0" wp14:anchorId="5044EF2A" wp14:editId="7F98050E">
            <wp:extent cx="5715000" cy="495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divider.png"/>
                    <pic:cNvPicPr/>
                  </pic:nvPicPr>
                  <pic:blipFill>
                    <a:blip r:embed="rId9">
                      <a:extLst>
                        <a:ext uri="{28A0092B-C50C-407E-A947-70E740481C1C}">
                          <a14:useLocalDpi xmlns:a14="http://schemas.microsoft.com/office/drawing/2010/main" val="0"/>
                        </a:ext>
                      </a:extLst>
                    </a:blip>
                    <a:stretch>
                      <a:fillRect/>
                    </a:stretch>
                  </pic:blipFill>
                  <pic:spPr>
                    <a:xfrm>
                      <a:off x="0" y="0"/>
                      <a:ext cx="5715000" cy="495300"/>
                    </a:xfrm>
                    <a:prstGeom prst="rect">
                      <a:avLst/>
                    </a:prstGeom>
                  </pic:spPr>
                </pic:pic>
              </a:graphicData>
            </a:graphic>
          </wp:inline>
        </w:drawing>
      </w:r>
    </w:p>
    <w:p w14:paraId="76C61E1D" w14:textId="4412B045" w:rsidR="003E6BD5" w:rsidRDefault="003E6BD5" w:rsidP="00DC4FD8">
      <w:pPr>
        <w:pStyle w:val="Heading2"/>
        <w:spacing w:before="120"/>
      </w:pPr>
      <w:bookmarkStart w:id="16" w:name="_Toc88152156"/>
      <w:bookmarkStart w:id="17" w:name="_Toc88152362"/>
      <w:bookmarkStart w:id="18" w:name="_Toc103764066"/>
      <w:proofErr w:type="spellStart"/>
      <w:r>
        <w:t>Par</w:t>
      </w:r>
      <w:r w:rsidR="00841FBA">
        <w:t>ceiro</w:t>
      </w:r>
      <w:r>
        <w:t>s</w:t>
      </w:r>
      <w:bookmarkEnd w:id="16"/>
      <w:bookmarkEnd w:id="17"/>
      <w:bookmarkEnd w:id="18"/>
      <w:proofErr w:type="spellEnd"/>
    </w:p>
    <w:p w14:paraId="297E41A9" w14:textId="73251B7A" w:rsidR="003E6BD5" w:rsidRDefault="00296E8C" w:rsidP="00A22EC3">
      <w:r>
        <w:rPr>
          <w:noProof/>
        </w:rPr>
        <w:drawing>
          <wp:inline distT="0" distB="0" distL="0" distR="0" wp14:anchorId="719C0098" wp14:editId="0E09B134">
            <wp:extent cx="5612389" cy="2101850"/>
            <wp:effectExtent l="0" t="0" r="7620" b="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463" cy="2116483"/>
                    </a:xfrm>
                    <a:prstGeom prst="rect">
                      <a:avLst/>
                    </a:prstGeom>
                  </pic:spPr>
                </pic:pic>
              </a:graphicData>
            </a:graphic>
          </wp:inline>
        </w:drawing>
      </w:r>
    </w:p>
    <w:p w14:paraId="359C2922" w14:textId="2D8548E7" w:rsidR="00294B26" w:rsidRDefault="00841FBA" w:rsidP="00DC4FD8">
      <w:pPr>
        <w:pStyle w:val="Heading2"/>
        <w:spacing w:before="360" w:after="120"/>
      </w:pPr>
      <w:bookmarkStart w:id="19" w:name="_Toc103764067"/>
      <w:proofErr w:type="spellStart"/>
      <w:r>
        <w:t>Patrocinadores</w:t>
      </w:r>
      <w:bookmarkEnd w:id="19"/>
      <w:proofErr w:type="spellEnd"/>
    </w:p>
    <w:p w14:paraId="42E2C19D" w14:textId="77777777" w:rsidR="00DC4FD8" w:rsidRPr="001603BE" w:rsidRDefault="00A73ED9" w:rsidP="00A22EC3">
      <w:r>
        <w:rPr>
          <w:noProof/>
        </w:rPr>
        <w:drawing>
          <wp:inline distT="0" distB="0" distL="0" distR="0" wp14:anchorId="01A4873F" wp14:editId="1FE524A6">
            <wp:extent cx="5943600" cy="7797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RI Paper Template Sponsors Logos-20.02.14.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102A69B9" w14:textId="79965288" w:rsidR="003E6BD5" w:rsidRPr="00841FBA" w:rsidRDefault="00841FBA" w:rsidP="00A71AAE">
      <w:pPr>
        <w:jc w:val="both"/>
        <w:rPr>
          <w:i/>
          <w:sz w:val="18"/>
          <w:szCs w:val="21"/>
        </w:rPr>
      </w:pPr>
      <w:r w:rsidRPr="00841FBA">
        <w:rPr>
          <w:i/>
          <w:sz w:val="18"/>
          <w:szCs w:val="21"/>
          <w:lang w:val="pt-BR"/>
        </w:rPr>
        <w:t xml:space="preserve">As opiniões apresentadas aqui não são necessariamente compartilhadas pelas agências que generosamente apoiaram este trabalho. Este trabalho está licenciado sob uma Licença de Atribuição </w:t>
      </w:r>
      <w:proofErr w:type="spellStart"/>
      <w:r w:rsidRPr="00841FBA">
        <w:rPr>
          <w:i/>
          <w:sz w:val="18"/>
          <w:szCs w:val="21"/>
          <w:lang w:val="pt-BR"/>
        </w:rPr>
        <w:t>Creative</w:t>
      </w:r>
      <w:proofErr w:type="spellEnd"/>
      <w:r w:rsidRPr="00841FBA">
        <w:rPr>
          <w:i/>
          <w:sz w:val="18"/>
          <w:szCs w:val="21"/>
          <w:lang w:val="pt-BR"/>
        </w:rPr>
        <w:t xml:space="preserve"> Commons CC BY 4.0.</w:t>
      </w:r>
    </w:p>
    <w:sectPr w:rsidR="003E6BD5" w:rsidRPr="00841FBA" w:rsidSect="00673913">
      <w:footerReference w:type="defaul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311D" w14:textId="77777777" w:rsidR="00C30E3A" w:rsidRDefault="00C30E3A" w:rsidP="0077388F">
      <w:pPr>
        <w:spacing w:before="0" w:after="0" w:line="240" w:lineRule="auto"/>
      </w:pPr>
      <w:r>
        <w:separator/>
      </w:r>
    </w:p>
  </w:endnote>
  <w:endnote w:type="continuationSeparator" w:id="0">
    <w:p w14:paraId="18806DFB" w14:textId="77777777" w:rsidR="00C30E3A" w:rsidRDefault="00C30E3A" w:rsidP="00773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altName w:val="Calibri"/>
    <w:panose1 w:val="02000000000000000000"/>
    <w:charset w:val="00"/>
    <w:family w:val="auto"/>
    <w:pitch w:val="variable"/>
    <w:sig w:usb0="A00000BF" w:usb1="5000005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615530826"/>
      <w:docPartObj>
        <w:docPartGallery w:val="Page Numbers (Bottom of Page)"/>
        <w:docPartUnique/>
      </w:docPartObj>
    </w:sdtPr>
    <w:sdtEndPr>
      <w:rPr>
        <w:noProof/>
      </w:rPr>
    </w:sdtEndPr>
    <w:sdtContent>
      <w:p w14:paraId="0C2FE8F9" w14:textId="77777777" w:rsidR="006D2EC7" w:rsidRDefault="006D2EC7" w:rsidP="006D2EC7">
        <w:pPr>
          <w:pStyle w:val="Footer"/>
          <w:jc w:val="center"/>
          <w:rPr>
            <w:i/>
            <w:sz w:val="16"/>
            <w:szCs w:val="16"/>
          </w:rPr>
        </w:pPr>
      </w:p>
      <w:p w14:paraId="250945B7" w14:textId="77777777" w:rsidR="005E7696" w:rsidRPr="006D2EC7" w:rsidRDefault="005E7696" w:rsidP="006D2EC7">
        <w:pPr>
          <w:pStyle w:val="Footer"/>
          <w:jc w:val="center"/>
          <w:rPr>
            <w:i/>
            <w:sz w:val="16"/>
            <w:szCs w:val="16"/>
          </w:rPr>
        </w:pPr>
      </w:p>
      <w:p w14:paraId="6FC44C3A" w14:textId="0139646C" w:rsidR="004B1A7D" w:rsidRPr="006D2EC7" w:rsidRDefault="00681E65" w:rsidP="00681E65">
        <w:pPr>
          <w:pStyle w:val="Footer"/>
          <w:tabs>
            <w:tab w:val="left" w:pos="4530"/>
          </w:tabs>
          <w:rPr>
            <w:i/>
            <w:sz w:val="16"/>
            <w:szCs w:val="16"/>
          </w:rPr>
        </w:pPr>
        <w:r w:rsidRPr="006D2EC7">
          <w:rPr>
            <w:i/>
            <w:sz w:val="16"/>
            <w:szCs w:val="16"/>
          </w:rPr>
          <w:tab/>
        </w:r>
        <w:r w:rsidR="006D2EC7" w:rsidRPr="006D2EC7">
          <w:rPr>
            <w:color w:val="545454"/>
            <w:sz w:val="16"/>
            <w:szCs w:val="16"/>
            <w:shd w:val="clear" w:color="auto" w:fill="FFFFFF"/>
          </w:rPr>
          <w:t>–</w:t>
        </w:r>
        <w:r w:rsidRPr="006D2EC7">
          <w:rPr>
            <w:color w:val="545454"/>
            <w:sz w:val="16"/>
            <w:szCs w:val="16"/>
            <w:shd w:val="clear" w:color="auto" w:fill="FFFFFF"/>
          </w:rPr>
          <w:t xml:space="preserve"> </w:t>
        </w:r>
        <w:r w:rsidR="004B1A7D" w:rsidRPr="006D2EC7">
          <w:rPr>
            <w:sz w:val="16"/>
            <w:szCs w:val="16"/>
          </w:rPr>
          <w:fldChar w:fldCharType="begin"/>
        </w:r>
        <w:r w:rsidR="004B1A7D" w:rsidRPr="006D2EC7">
          <w:rPr>
            <w:sz w:val="16"/>
            <w:szCs w:val="16"/>
          </w:rPr>
          <w:instrText xml:space="preserve"> PAGE   \* MERGEFORMAT </w:instrText>
        </w:r>
        <w:r w:rsidR="004B1A7D" w:rsidRPr="006D2EC7">
          <w:rPr>
            <w:sz w:val="16"/>
            <w:szCs w:val="16"/>
          </w:rPr>
          <w:fldChar w:fldCharType="separate"/>
        </w:r>
        <w:r w:rsidR="00C03BDD">
          <w:rPr>
            <w:noProof/>
            <w:sz w:val="16"/>
            <w:szCs w:val="16"/>
          </w:rPr>
          <w:t>5</w:t>
        </w:r>
        <w:r w:rsidR="004B1A7D" w:rsidRPr="006D2EC7">
          <w:rPr>
            <w:noProof/>
            <w:sz w:val="16"/>
            <w:szCs w:val="16"/>
          </w:rPr>
          <w:fldChar w:fldCharType="end"/>
        </w:r>
        <w:r w:rsidRPr="006D2EC7">
          <w:rPr>
            <w:color w:val="545454"/>
            <w:sz w:val="16"/>
            <w:szCs w:val="16"/>
            <w:shd w:val="clear" w:color="auto" w:fill="FFFFFF"/>
          </w:rPr>
          <w:t xml:space="preserve"> </w:t>
        </w:r>
        <w:r w:rsidR="006D2EC7" w:rsidRPr="006D2EC7">
          <w:rPr>
            <w:color w:val="545454"/>
            <w:sz w:val="16"/>
            <w:szCs w:val="16"/>
            <w:shd w:val="clear" w:color="auto" w:fill="FFFFFF"/>
          </w:rPr>
          <w:t>–</w:t>
        </w:r>
      </w:p>
    </w:sdtContent>
  </w:sdt>
  <w:p w14:paraId="58AD499A" w14:textId="77777777" w:rsidR="0077388F" w:rsidRPr="006D2EC7" w:rsidRDefault="0077388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1BB9" w14:textId="77777777" w:rsidR="00C30E3A" w:rsidRDefault="00C30E3A" w:rsidP="0077388F">
      <w:pPr>
        <w:spacing w:before="0" w:after="0" w:line="240" w:lineRule="auto"/>
      </w:pPr>
      <w:r>
        <w:separator/>
      </w:r>
    </w:p>
  </w:footnote>
  <w:footnote w:type="continuationSeparator" w:id="0">
    <w:p w14:paraId="67327223" w14:textId="77777777" w:rsidR="00C30E3A" w:rsidRDefault="00C30E3A" w:rsidP="0077388F">
      <w:pPr>
        <w:spacing w:before="0" w:after="0" w:line="240" w:lineRule="auto"/>
      </w:pPr>
      <w:r>
        <w:continuationSeparator/>
      </w:r>
    </w:p>
  </w:footnote>
  <w:footnote w:id="1">
    <w:p w14:paraId="54DC4E28" w14:textId="77777777" w:rsidR="007E6CCC" w:rsidRPr="0098694C" w:rsidRDefault="007E6CCC" w:rsidP="007E6CCC">
      <w:pPr>
        <w:pStyle w:val="FootnoteText"/>
        <w:jc w:val="both"/>
        <w:rPr>
          <w:rFonts w:ascii="Open Sans" w:hAnsi="Open Sans" w:cs="Open Sans"/>
          <w:sz w:val="16"/>
          <w:szCs w:val="16"/>
          <w:lang w:val="pt-BR"/>
        </w:rPr>
      </w:pPr>
      <w:r>
        <w:rPr>
          <w:rStyle w:val="FootnoteReference"/>
          <w:rFonts w:ascii="Open Sans" w:hAnsi="Open Sans"/>
          <w:sz w:val="16"/>
          <w:szCs w:val="16"/>
        </w:rPr>
        <w:footnoteRef/>
      </w:r>
      <w:r w:rsidRPr="0098694C">
        <w:rPr>
          <w:rFonts w:ascii="Open Sans" w:hAnsi="Open Sans" w:cs="Open Sans"/>
          <w:sz w:val="16"/>
          <w:szCs w:val="16"/>
          <w:lang w:val="pt-BR"/>
        </w:rPr>
        <w:t xml:space="preserve"> Um regime de posse com base na comunidade (CBTR</w:t>
      </w:r>
      <w:r>
        <w:rPr>
          <w:rFonts w:ascii="Open Sans" w:hAnsi="Open Sans" w:cs="Open Sans"/>
          <w:sz w:val="16"/>
          <w:szCs w:val="16"/>
          <w:lang w:val="pt-BR"/>
        </w:rPr>
        <w:t xml:space="preserve"> – por seu nome em inglês ‘</w:t>
      </w:r>
      <w:proofErr w:type="spellStart"/>
      <w:r w:rsidRPr="0098694C">
        <w:rPr>
          <w:rFonts w:ascii="Open Sans" w:hAnsi="Open Sans" w:cs="Open Sans"/>
          <w:sz w:val="16"/>
          <w:szCs w:val="16"/>
          <w:lang w:val="pt-BR"/>
        </w:rPr>
        <w:t>community-based</w:t>
      </w:r>
      <w:proofErr w:type="spellEnd"/>
      <w:r w:rsidRPr="0098694C">
        <w:rPr>
          <w:rFonts w:ascii="Open Sans" w:hAnsi="Open Sans" w:cs="Open Sans"/>
          <w:sz w:val="16"/>
          <w:szCs w:val="16"/>
          <w:lang w:val="pt-BR"/>
        </w:rPr>
        <w:t xml:space="preserve"> </w:t>
      </w:r>
      <w:proofErr w:type="spellStart"/>
      <w:r w:rsidRPr="0098694C">
        <w:rPr>
          <w:rFonts w:ascii="Open Sans" w:hAnsi="Open Sans" w:cs="Open Sans"/>
          <w:sz w:val="16"/>
          <w:szCs w:val="16"/>
          <w:lang w:val="pt-BR"/>
        </w:rPr>
        <w:t>tenure</w:t>
      </w:r>
      <w:proofErr w:type="spellEnd"/>
      <w:r w:rsidRPr="0098694C">
        <w:rPr>
          <w:rFonts w:ascii="Open Sans" w:hAnsi="Open Sans" w:cs="Open Sans"/>
          <w:sz w:val="16"/>
          <w:szCs w:val="16"/>
          <w:lang w:val="pt-BR"/>
        </w:rPr>
        <w:t xml:space="preserve"> regime</w:t>
      </w:r>
      <w:r>
        <w:rPr>
          <w:rFonts w:ascii="Open Sans" w:hAnsi="Open Sans" w:cs="Open Sans"/>
          <w:sz w:val="16"/>
          <w:szCs w:val="16"/>
          <w:lang w:val="pt-BR"/>
        </w:rPr>
        <w:t>’</w:t>
      </w:r>
      <w:r w:rsidRPr="0098694C">
        <w:rPr>
          <w:rFonts w:ascii="Open Sans" w:hAnsi="Open Sans" w:cs="Open Sans"/>
          <w:sz w:val="16"/>
          <w:szCs w:val="16"/>
          <w:lang w:val="pt-BR"/>
        </w:rPr>
        <w:t>) é um conjunto distinto de leis e regulamentos nacionais emitidos pelo estado que regem "todas as situações sob as quais o direito de possuir ou gerenciar os recursos naturais terrestres é mantido no nível da comunidade."</w:t>
      </w:r>
    </w:p>
  </w:footnote>
  <w:footnote w:id="2">
    <w:p w14:paraId="22AF3C02" w14:textId="77777777" w:rsidR="007E6CCC" w:rsidRPr="00BC7177" w:rsidRDefault="007E6CCC" w:rsidP="007E6CCC">
      <w:pPr>
        <w:pStyle w:val="FootnoteText"/>
        <w:rPr>
          <w:rFonts w:ascii="Open Sans" w:hAnsi="Open Sans" w:cs="Open Sans"/>
          <w:sz w:val="16"/>
          <w:szCs w:val="16"/>
          <w:lang w:val="pt-BR"/>
        </w:rPr>
      </w:pPr>
      <w:r w:rsidRPr="00BC7177">
        <w:rPr>
          <w:rStyle w:val="FootnoteReference"/>
          <w:rFonts w:ascii="Open Sans" w:hAnsi="Open Sans" w:cs="Open Sans"/>
          <w:sz w:val="16"/>
          <w:szCs w:val="16"/>
        </w:rPr>
        <w:footnoteRef/>
      </w:r>
      <w:r w:rsidRPr="00BC7177">
        <w:rPr>
          <w:rFonts w:ascii="Open Sans" w:hAnsi="Open Sans" w:cs="Open Sans"/>
          <w:sz w:val="16"/>
          <w:szCs w:val="16"/>
        </w:rPr>
        <w:t xml:space="preserve"> Rights and Resource Initiative. 2018. </w:t>
      </w:r>
      <w:r w:rsidRPr="00BC7177">
        <w:rPr>
          <w:rFonts w:ascii="Open Sans" w:hAnsi="Open Sans" w:cs="Open Sans"/>
          <w:sz w:val="16"/>
          <w:szCs w:val="16"/>
          <w:lang w:val="pt-BR"/>
        </w:rPr>
        <w:t xml:space="preserve">Em uma encruzilhada: tendências consequenciais no reconhecimento da posse de florestas de base comunitária de 2002-2017. </w:t>
      </w:r>
      <w:hyperlink r:id="rId1" w:history="1">
        <w:r w:rsidRPr="00BC7177">
          <w:rPr>
            <w:rStyle w:val="Hyperlink"/>
            <w:rFonts w:ascii="Open Sans" w:hAnsi="Open Sans" w:cs="Open Sans"/>
            <w:sz w:val="16"/>
            <w:szCs w:val="16"/>
            <w:lang w:val="pt-BR"/>
          </w:rPr>
          <w:t>https://doi.org/10.53892/UCYL3747</w:t>
        </w:r>
      </w:hyperlink>
      <w:r w:rsidRPr="00BC7177">
        <w:rPr>
          <w:rFonts w:ascii="Open Sans" w:hAnsi="Open Sans" w:cs="Open Sans"/>
          <w:sz w:val="16"/>
          <w:szCs w:val="16"/>
          <w:lang w:val="pt-BR"/>
        </w:rPr>
        <w:t>; veja também: https://rightsandresources.org/tenure-tracking/forest-and-land-tenure/.</w:t>
      </w:r>
    </w:p>
  </w:footnote>
  <w:footnote w:id="3">
    <w:p w14:paraId="5EF34F82" w14:textId="77777777" w:rsidR="002453AC" w:rsidRPr="007302FB" w:rsidRDefault="002453AC" w:rsidP="002453AC">
      <w:pPr>
        <w:pStyle w:val="FootnoteText"/>
        <w:jc w:val="both"/>
        <w:rPr>
          <w:rFonts w:ascii="Open Sans" w:hAnsi="Open Sans" w:cs="Open Sans"/>
          <w:sz w:val="16"/>
          <w:szCs w:val="16"/>
          <w:lang w:val="pt-BR"/>
        </w:rPr>
      </w:pPr>
      <w:r>
        <w:rPr>
          <w:rStyle w:val="FootnoteReference"/>
          <w:rFonts w:ascii="Open Sans" w:hAnsi="Open Sans"/>
          <w:sz w:val="16"/>
          <w:szCs w:val="16"/>
        </w:rPr>
        <w:footnoteRef/>
      </w:r>
      <w:r w:rsidRPr="007302FB">
        <w:rPr>
          <w:rFonts w:ascii="Open Sans" w:hAnsi="Open Sans" w:cs="Open Sans"/>
          <w:sz w:val="16"/>
          <w:szCs w:val="16"/>
          <w:lang w:val="pt-BR"/>
        </w:rPr>
        <w:t xml:space="preserve"> Dentro desta avaliação, a análise jurídica da Guiana Francesa considera as leis nacionais e os compromissos internacionais assumidos pela França, conforme apropriado.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136"/>
    <w:multiLevelType w:val="hybridMultilevel"/>
    <w:tmpl w:val="806E6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BD2"/>
    <w:multiLevelType w:val="hybridMultilevel"/>
    <w:tmpl w:val="E55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42C"/>
    <w:multiLevelType w:val="hybridMultilevel"/>
    <w:tmpl w:val="B49E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9CC"/>
    <w:multiLevelType w:val="hybridMultilevel"/>
    <w:tmpl w:val="53C2C8BC"/>
    <w:lvl w:ilvl="0" w:tplc="7BFAB3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62BF8"/>
    <w:multiLevelType w:val="hybridMultilevel"/>
    <w:tmpl w:val="8C1CB7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8244F"/>
    <w:multiLevelType w:val="hybridMultilevel"/>
    <w:tmpl w:val="672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52C5F"/>
    <w:multiLevelType w:val="hybridMultilevel"/>
    <w:tmpl w:val="BF88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A68EB"/>
    <w:multiLevelType w:val="hybridMultilevel"/>
    <w:tmpl w:val="87647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30990"/>
    <w:multiLevelType w:val="hybridMultilevel"/>
    <w:tmpl w:val="2CFAC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246647">
    <w:abstractNumId w:val="5"/>
  </w:num>
  <w:num w:numId="2" w16cid:durableId="1718897758">
    <w:abstractNumId w:val="1"/>
  </w:num>
  <w:num w:numId="3" w16cid:durableId="1265070039">
    <w:abstractNumId w:val="6"/>
  </w:num>
  <w:num w:numId="4" w16cid:durableId="1492142782">
    <w:abstractNumId w:val="2"/>
  </w:num>
  <w:num w:numId="5" w16cid:durableId="2050379435">
    <w:abstractNumId w:val="4"/>
  </w:num>
  <w:num w:numId="6" w16cid:durableId="1390424709">
    <w:abstractNumId w:val="8"/>
  </w:num>
  <w:num w:numId="7" w16cid:durableId="1529836318">
    <w:abstractNumId w:val="3"/>
  </w:num>
  <w:num w:numId="8" w16cid:durableId="912085042">
    <w:abstractNumId w:val="0"/>
  </w:num>
  <w:num w:numId="9" w16cid:durableId="1319115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9"/>
    <w:rsid w:val="00011021"/>
    <w:rsid w:val="0001202A"/>
    <w:rsid w:val="00030D6E"/>
    <w:rsid w:val="0003249A"/>
    <w:rsid w:val="00044D83"/>
    <w:rsid w:val="00080722"/>
    <w:rsid w:val="0008753A"/>
    <w:rsid w:val="000A43AD"/>
    <w:rsid w:val="000D0E9D"/>
    <w:rsid w:val="0011015A"/>
    <w:rsid w:val="0012373F"/>
    <w:rsid w:val="001255DF"/>
    <w:rsid w:val="00126ADC"/>
    <w:rsid w:val="00157E94"/>
    <w:rsid w:val="001603BE"/>
    <w:rsid w:val="001658CC"/>
    <w:rsid w:val="00173BF6"/>
    <w:rsid w:val="0018640E"/>
    <w:rsid w:val="00187606"/>
    <w:rsid w:val="00197B43"/>
    <w:rsid w:val="001B4150"/>
    <w:rsid w:val="001D00F8"/>
    <w:rsid w:val="001E07A0"/>
    <w:rsid w:val="001E4664"/>
    <w:rsid w:val="0020133C"/>
    <w:rsid w:val="00201CB9"/>
    <w:rsid w:val="002060A4"/>
    <w:rsid w:val="00222A93"/>
    <w:rsid w:val="00223C00"/>
    <w:rsid w:val="00230436"/>
    <w:rsid w:val="002453AC"/>
    <w:rsid w:val="00251D55"/>
    <w:rsid w:val="0025566D"/>
    <w:rsid w:val="00271076"/>
    <w:rsid w:val="00275ED9"/>
    <w:rsid w:val="00287B59"/>
    <w:rsid w:val="00294B26"/>
    <w:rsid w:val="00296E8C"/>
    <w:rsid w:val="002B6ED4"/>
    <w:rsid w:val="00311B09"/>
    <w:rsid w:val="003155B8"/>
    <w:rsid w:val="00326996"/>
    <w:rsid w:val="0033027E"/>
    <w:rsid w:val="00332CF4"/>
    <w:rsid w:val="00347320"/>
    <w:rsid w:val="00370D4F"/>
    <w:rsid w:val="00376077"/>
    <w:rsid w:val="003947EE"/>
    <w:rsid w:val="003D58CB"/>
    <w:rsid w:val="003E1291"/>
    <w:rsid w:val="003E6BD5"/>
    <w:rsid w:val="004022AC"/>
    <w:rsid w:val="00426D27"/>
    <w:rsid w:val="004271CA"/>
    <w:rsid w:val="00441828"/>
    <w:rsid w:val="00445366"/>
    <w:rsid w:val="00461DC9"/>
    <w:rsid w:val="00491BF9"/>
    <w:rsid w:val="004957DD"/>
    <w:rsid w:val="004B1A7D"/>
    <w:rsid w:val="004C2F9B"/>
    <w:rsid w:val="004E7126"/>
    <w:rsid w:val="005076D2"/>
    <w:rsid w:val="00516674"/>
    <w:rsid w:val="005278D9"/>
    <w:rsid w:val="00544E24"/>
    <w:rsid w:val="00552242"/>
    <w:rsid w:val="00554939"/>
    <w:rsid w:val="0056225C"/>
    <w:rsid w:val="00563513"/>
    <w:rsid w:val="00566B91"/>
    <w:rsid w:val="00575A74"/>
    <w:rsid w:val="005818AA"/>
    <w:rsid w:val="005919EE"/>
    <w:rsid w:val="005A65A2"/>
    <w:rsid w:val="005C04B2"/>
    <w:rsid w:val="005E201C"/>
    <w:rsid w:val="005E7696"/>
    <w:rsid w:val="00603DA5"/>
    <w:rsid w:val="00607146"/>
    <w:rsid w:val="00616716"/>
    <w:rsid w:val="00673913"/>
    <w:rsid w:val="00681E65"/>
    <w:rsid w:val="00687BB4"/>
    <w:rsid w:val="006903B2"/>
    <w:rsid w:val="006A213A"/>
    <w:rsid w:val="006B1D05"/>
    <w:rsid w:val="006B42C8"/>
    <w:rsid w:val="006C04B8"/>
    <w:rsid w:val="006C4952"/>
    <w:rsid w:val="006C4B11"/>
    <w:rsid w:val="006D2EC7"/>
    <w:rsid w:val="006E1823"/>
    <w:rsid w:val="007012DB"/>
    <w:rsid w:val="00735DF6"/>
    <w:rsid w:val="00736E3F"/>
    <w:rsid w:val="00741926"/>
    <w:rsid w:val="007507FD"/>
    <w:rsid w:val="007513DD"/>
    <w:rsid w:val="00761E3B"/>
    <w:rsid w:val="0076686C"/>
    <w:rsid w:val="00772BE9"/>
    <w:rsid w:val="0077388F"/>
    <w:rsid w:val="00787D60"/>
    <w:rsid w:val="007E4469"/>
    <w:rsid w:val="007E6CCC"/>
    <w:rsid w:val="007F085D"/>
    <w:rsid w:val="00803FA9"/>
    <w:rsid w:val="00806F3A"/>
    <w:rsid w:val="008102C0"/>
    <w:rsid w:val="00811866"/>
    <w:rsid w:val="008168E6"/>
    <w:rsid w:val="00841FBA"/>
    <w:rsid w:val="00843D8D"/>
    <w:rsid w:val="00850E3F"/>
    <w:rsid w:val="00855508"/>
    <w:rsid w:val="00865E25"/>
    <w:rsid w:val="008728E3"/>
    <w:rsid w:val="0087656A"/>
    <w:rsid w:val="0089657D"/>
    <w:rsid w:val="008B2202"/>
    <w:rsid w:val="008B67CE"/>
    <w:rsid w:val="008D3987"/>
    <w:rsid w:val="008D722D"/>
    <w:rsid w:val="008E0A71"/>
    <w:rsid w:val="008F73D1"/>
    <w:rsid w:val="00907072"/>
    <w:rsid w:val="00913C05"/>
    <w:rsid w:val="009372C7"/>
    <w:rsid w:val="00965F07"/>
    <w:rsid w:val="00971B1A"/>
    <w:rsid w:val="009738ED"/>
    <w:rsid w:val="009776CF"/>
    <w:rsid w:val="00997E72"/>
    <w:rsid w:val="009A2278"/>
    <w:rsid w:val="009C0808"/>
    <w:rsid w:val="009C3054"/>
    <w:rsid w:val="009D1F38"/>
    <w:rsid w:val="009E4FB6"/>
    <w:rsid w:val="00A05624"/>
    <w:rsid w:val="00A16F1A"/>
    <w:rsid w:val="00A217D3"/>
    <w:rsid w:val="00A22EC3"/>
    <w:rsid w:val="00A37F53"/>
    <w:rsid w:val="00A44449"/>
    <w:rsid w:val="00A52478"/>
    <w:rsid w:val="00A56A4E"/>
    <w:rsid w:val="00A61AD5"/>
    <w:rsid w:val="00A65F96"/>
    <w:rsid w:val="00A71AAE"/>
    <w:rsid w:val="00A73655"/>
    <w:rsid w:val="00A73ED9"/>
    <w:rsid w:val="00A76903"/>
    <w:rsid w:val="00A85093"/>
    <w:rsid w:val="00AA635E"/>
    <w:rsid w:val="00AF0050"/>
    <w:rsid w:val="00AF2D38"/>
    <w:rsid w:val="00B352BD"/>
    <w:rsid w:val="00B50477"/>
    <w:rsid w:val="00B62CDE"/>
    <w:rsid w:val="00BA5AC0"/>
    <w:rsid w:val="00BB37E7"/>
    <w:rsid w:val="00BB6920"/>
    <w:rsid w:val="00BC7177"/>
    <w:rsid w:val="00BF735A"/>
    <w:rsid w:val="00C03BDD"/>
    <w:rsid w:val="00C30E3A"/>
    <w:rsid w:val="00CA195F"/>
    <w:rsid w:val="00CA5FC0"/>
    <w:rsid w:val="00CE18C2"/>
    <w:rsid w:val="00D028B3"/>
    <w:rsid w:val="00D06C39"/>
    <w:rsid w:val="00D14D4E"/>
    <w:rsid w:val="00D320A0"/>
    <w:rsid w:val="00D33B10"/>
    <w:rsid w:val="00D402E5"/>
    <w:rsid w:val="00D45C32"/>
    <w:rsid w:val="00D60048"/>
    <w:rsid w:val="00D60A70"/>
    <w:rsid w:val="00D76530"/>
    <w:rsid w:val="00D82A1D"/>
    <w:rsid w:val="00D9390A"/>
    <w:rsid w:val="00D96A5C"/>
    <w:rsid w:val="00DA002E"/>
    <w:rsid w:val="00DA7D53"/>
    <w:rsid w:val="00DC0964"/>
    <w:rsid w:val="00DC4FD8"/>
    <w:rsid w:val="00DC513C"/>
    <w:rsid w:val="00DD7288"/>
    <w:rsid w:val="00DD7B52"/>
    <w:rsid w:val="00E01AD2"/>
    <w:rsid w:val="00E3557C"/>
    <w:rsid w:val="00E36445"/>
    <w:rsid w:val="00E6459F"/>
    <w:rsid w:val="00E7767F"/>
    <w:rsid w:val="00EA1F86"/>
    <w:rsid w:val="00EC702B"/>
    <w:rsid w:val="00EE0CBF"/>
    <w:rsid w:val="00EE2CAC"/>
    <w:rsid w:val="00EE4379"/>
    <w:rsid w:val="00EE54DD"/>
    <w:rsid w:val="00EF5FFF"/>
    <w:rsid w:val="00F04381"/>
    <w:rsid w:val="00F136CA"/>
    <w:rsid w:val="00F505FE"/>
    <w:rsid w:val="00FA49A7"/>
    <w:rsid w:val="00FC695D"/>
    <w:rsid w:val="00FE3A33"/>
    <w:rsid w:val="00FF0A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6F62B"/>
  <w15:chartTrackingRefBased/>
  <w15:docId w15:val="{0F6CCE26-2805-4EDF-9E12-4051B8C8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02"/>
    <w:pPr>
      <w:shd w:val="clear" w:color="auto" w:fill="FFFFFF"/>
      <w:spacing w:before="240" w:after="240" w:line="276" w:lineRule="auto"/>
    </w:pPr>
    <w:rPr>
      <w:rFonts w:ascii="Open Sans" w:eastAsia="Times New Roman" w:hAnsi="Open Sans" w:cs="Open Sans"/>
      <w:color w:val="444444"/>
      <w:sz w:val="20"/>
    </w:rPr>
  </w:style>
  <w:style w:type="paragraph" w:styleId="Heading1">
    <w:name w:val="heading 1"/>
    <w:basedOn w:val="Normal"/>
    <w:next w:val="Normal"/>
    <w:link w:val="Heading1Char"/>
    <w:uiPriority w:val="9"/>
    <w:qFormat/>
    <w:rsid w:val="005919EE"/>
    <w:pPr>
      <w:outlineLvl w:val="0"/>
    </w:pPr>
    <w:rPr>
      <w:rFonts w:ascii="Open Sans Semibold" w:hAnsi="Open Sans Semibold" w:cs="Open Sans Semibold"/>
      <w:color w:val="49A146"/>
      <w:sz w:val="24"/>
    </w:rPr>
  </w:style>
  <w:style w:type="paragraph" w:styleId="Heading2">
    <w:name w:val="heading 2"/>
    <w:basedOn w:val="Normal"/>
    <w:next w:val="Normal"/>
    <w:link w:val="Heading2Char"/>
    <w:uiPriority w:val="9"/>
    <w:unhideWhenUsed/>
    <w:qFormat/>
    <w:rsid w:val="0025566D"/>
    <w:pPr>
      <w:outlineLvl w:val="1"/>
    </w:pPr>
    <w:rPr>
      <w:b/>
      <w:i/>
    </w:rPr>
  </w:style>
  <w:style w:type="paragraph" w:styleId="Heading3">
    <w:name w:val="heading 3"/>
    <w:basedOn w:val="TextunderHeading3"/>
    <w:next w:val="Normal"/>
    <w:link w:val="Heading3Char"/>
    <w:uiPriority w:val="9"/>
    <w:unhideWhenUsed/>
    <w:qFormat/>
    <w:rsid w:val="00673913"/>
    <w:pPr>
      <w:ind w:left="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BE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919EE"/>
    <w:rPr>
      <w:rFonts w:ascii="Open Sans Semibold" w:eastAsia="Times New Roman" w:hAnsi="Open Sans Semibold" w:cs="Open Sans Semibold"/>
      <w:color w:val="49A146"/>
      <w:sz w:val="24"/>
      <w:shd w:val="clear" w:color="auto" w:fill="FFFFFF"/>
    </w:rPr>
  </w:style>
  <w:style w:type="paragraph" w:styleId="Title">
    <w:name w:val="Title"/>
    <w:basedOn w:val="Normal"/>
    <w:next w:val="Normal"/>
    <w:link w:val="TitleChar"/>
    <w:uiPriority w:val="10"/>
    <w:qFormat/>
    <w:rsid w:val="007507FD"/>
    <w:pPr>
      <w:spacing w:after="360"/>
    </w:pPr>
    <w:rPr>
      <w:rFonts w:ascii="Libre Baskerville" w:hAnsi="Libre Baskerville"/>
      <w:i/>
      <w:color w:val="auto"/>
      <w:sz w:val="36"/>
      <w:szCs w:val="36"/>
    </w:rPr>
  </w:style>
  <w:style w:type="character" w:customStyle="1" w:styleId="TitleChar">
    <w:name w:val="Title Char"/>
    <w:basedOn w:val="DefaultParagraphFont"/>
    <w:link w:val="Title"/>
    <w:uiPriority w:val="10"/>
    <w:rsid w:val="007507FD"/>
    <w:rPr>
      <w:rFonts w:ascii="Libre Baskerville" w:eastAsia="Times New Roman" w:hAnsi="Libre Baskerville" w:cs="Open Sans"/>
      <w:i/>
      <w:sz w:val="36"/>
      <w:szCs w:val="36"/>
      <w:shd w:val="clear" w:color="auto" w:fill="FFFFFF"/>
    </w:rPr>
  </w:style>
  <w:style w:type="paragraph" w:styleId="Subtitle">
    <w:name w:val="Subtitle"/>
    <w:aliases w:val="RRI Organization and Date"/>
    <w:basedOn w:val="Normal"/>
    <w:next w:val="Normal"/>
    <w:link w:val="SubtitleChar"/>
    <w:uiPriority w:val="11"/>
    <w:qFormat/>
    <w:rsid w:val="007507FD"/>
    <w:pPr>
      <w:spacing w:after="360"/>
    </w:pPr>
    <w:rPr>
      <w:rFonts w:ascii="Open Sans Light" w:hAnsi="Open Sans Light" w:cs="Open Sans Light"/>
      <w:caps/>
      <w:spacing w:val="20"/>
    </w:rPr>
  </w:style>
  <w:style w:type="character" w:customStyle="1" w:styleId="SubtitleChar">
    <w:name w:val="Subtitle Char"/>
    <w:aliases w:val="RRI Organization and Date Char"/>
    <w:basedOn w:val="DefaultParagraphFont"/>
    <w:link w:val="Subtitle"/>
    <w:uiPriority w:val="11"/>
    <w:rsid w:val="007507FD"/>
    <w:rPr>
      <w:rFonts w:ascii="Open Sans Light" w:eastAsia="Times New Roman" w:hAnsi="Open Sans Light" w:cs="Open Sans Light"/>
      <w:caps/>
      <w:color w:val="444444"/>
      <w:spacing w:val="20"/>
      <w:sz w:val="20"/>
      <w:shd w:val="clear" w:color="auto" w:fill="FFFFFF"/>
    </w:rPr>
  </w:style>
  <w:style w:type="character" w:customStyle="1" w:styleId="Heading2Char">
    <w:name w:val="Heading 2 Char"/>
    <w:basedOn w:val="DefaultParagraphFont"/>
    <w:link w:val="Heading2"/>
    <w:uiPriority w:val="9"/>
    <w:rsid w:val="0025566D"/>
    <w:rPr>
      <w:rFonts w:ascii="Open Sans" w:eastAsia="Times New Roman" w:hAnsi="Open Sans" w:cs="Open Sans"/>
      <w:b/>
      <w:i/>
      <w:color w:val="444444"/>
      <w:shd w:val="clear" w:color="auto" w:fill="FFFFFF"/>
    </w:rPr>
  </w:style>
  <w:style w:type="table" w:styleId="TableGrid">
    <w:name w:val="Table Grid"/>
    <w:basedOn w:val="TableNormal"/>
    <w:uiPriority w:val="39"/>
    <w:rsid w:val="008D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D72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RIBox">
    <w:name w:val="RRI Box"/>
    <w:basedOn w:val="TableNormal"/>
    <w:uiPriority w:val="99"/>
    <w:rsid w:val="008D722D"/>
    <w:pPr>
      <w:spacing w:after="0" w:line="240" w:lineRule="auto"/>
    </w:pPr>
    <w:rPr>
      <w:rFonts w:ascii="Open Sans" w:hAnsi="Open Sans"/>
      <w:sz w:val="18"/>
    </w:rPr>
    <w:tblPr>
      <w:tblCellMar>
        <w:top w:w="115" w:type="dxa"/>
        <w:left w:w="288" w:type="dxa"/>
        <w:bottom w:w="115" w:type="dxa"/>
        <w:right w:w="288" w:type="dxa"/>
      </w:tblCellMar>
    </w:tblPr>
    <w:tcPr>
      <w:shd w:val="clear" w:color="auto" w:fill="DDECD9"/>
    </w:tcPr>
  </w:style>
  <w:style w:type="paragraph" w:customStyle="1" w:styleId="TableHeading">
    <w:name w:val="Table Heading"/>
    <w:basedOn w:val="Normal"/>
    <w:qFormat/>
    <w:rsid w:val="00997E72"/>
    <w:pPr>
      <w:shd w:val="clear" w:color="auto" w:fill="auto"/>
      <w:spacing w:before="360"/>
    </w:pPr>
    <w:rPr>
      <w:b/>
    </w:rPr>
  </w:style>
  <w:style w:type="paragraph" w:styleId="ListParagraph">
    <w:name w:val="List Paragraph"/>
    <w:basedOn w:val="Normal"/>
    <w:uiPriority w:val="34"/>
    <w:qFormat/>
    <w:rsid w:val="00080722"/>
    <w:pPr>
      <w:ind w:left="720"/>
      <w:contextualSpacing/>
    </w:pPr>
  </w:style>
  <w:style w:type="paragraph" w:customStyle="1" w:styleId="TextunderHeading3">
    <w:name w:val="Text under Heading 3"/>
    <w:basedOn w:val="Normal"/>
    <w:qFormat/>
    <w:rsid w:val="00080722"/>
    <w:pPr>
      <w:ind w:left="720"/>
    </w:pPr>
  </w:style>
  <w:style w:type="character" w:customStyle="1" w:styleId="Heading3Char">
    <w:name w:val="Heading 3 Char"/>
    <w:basedOn w:val="DefaultParagraphFont"/>
    <w:link w:val="Heading3"/>
    <w:uiPriority w:val="9"/>
    <w:rsid w:val="00673913"/>
    <w:rPr>
      <w:rFonts w:ascii="Open Sans" w:eastAsia="Times New Roman" w:hAnsi="Open Sans" w:cs="Open Sans"/>
      <w:b/>
      <w:color w:val="444444"/>
      <w:sz w:val="20"/>
      <w:shd w:val="clear" w:color="auto" w:fill="FFFFFF"/>
    </w:rPr>
  </w:style>
  <w:style w:type="table" w:styleId="GridTable2-Accent6">
    <w:name w:val="Grid Table 2 Accent 6"/>
    <w:basedOn w:val="TableNormal"/>
    <w:uiPriority w:val="47"/>
    <w:rsid w:val="00997E7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997E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yle2">
    <w:name w:val="Style2"/>
    <w:basedOn w:val="GridTable4-Accent6"/>
    <w:uiPriority w:val="99"/>
    <w:rsid w:val="00971B1A"/>
    <w:rPr>
      <w:rFonts w:ascii="Open Sans" w:hAnsi="Open Sans"/>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7738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388F"/>
    <w:rPr>
      <w:rFonts w:ascii="Open Sans" w:eastAsia="Times New Roman" w:hAnsi="Open Sans" w:cs="Open Sans"/>
      <w:color w:val="444444"/>
      <w:shd w:val="clear" w:color="auto" w:fill="FFFFFF"/>
    </w:rPr>
  </w:style>
  <w:style w:type="paragraph" w:styleId="Footer">
    <w:name w:val="footer"/>
    <w:basedOn w:val="Normal"/>
    <w:link w:val="FooterChar"/>
    <w:uiPriority w:val="99"/>
    <w:unhideWhenUsed/>
    <w:rsid w:val="0077388F"/>
    <w:pPr>
      <w:tabs>
        <w:tab w:val="center" w:pos="4680"/>
        <w:tab w:val="right" w:pos="9360"/>
      </w:tabs>
      <w:spacing w:before="0" w:after="0" w:line="240" w:lineRule="auto"/>
    </w:pPr>
  </w:style>
  <w:style w:type="table" w:styleId="ListTable4-Accent1">
    <w:name w:val="List Table 4 Accent 1"/>
    <w:basedOn w:val="TableNormal"/>
    <w:uiPriority w:val="49"/>
    <w:rsid w:val="000A43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FooterChar">
    <w:name w:val="Footer Char"/>
    <w:basedOn w:val="DefaultParagraphFont"/>
    <w:link w:val="Footer"/>
    <w:uiPriority w:val="99"/>
    <w:rsid w:val="0077388F"/>
    <w:rPr>
      <w:rFonts w:ascii="Open Sans" w:eastAsia="Times New Roman" w:hAnsi="Open Sans" w:cs="Open Sans"/>
      <w:color w:val="444444"/>
      <w:shd w:val="clear" w:color="auto" w:fill="FFFFFF"/>
    </w:rPr>
  </w:style>
  <w:style w:type="character" w:styleId="CommentReference">
    <w:name w:val="annotation reference"/>
    <w:basedOn w:val="DefaultParagraphFont"/>
    <w:uiPriority w:val="99"/>
    <w:semiHidden/>
    <w:unhideWhenUsed/>
    <w:rsid w:val="00441828"/>
    <w:rPr>
      <w:sz w:val="16"/>
      <w:szCs w:val="16"/>
    </w:rPr>
  </w:style>
  <w:style w:type="paragraph" w:styleId="CommentText">
    <w:name w:val="annotation text"/>
    <w:basedOn w:val="Normal"/>
    <w:link w:val="CommentTextChar"/>
    <w:uiPriority w:val="99"/>
    <w:unhideWhenUsed/>
    <w:rsid w:val="00441828"/>
    <w:pPr>
      <w:spacing w:line="240" w:lineRule="auto"/>
    </w:pPr>
    <w:rPr>
      <w:szCs w:val="20"/>
    </w:rPr>
  </w:style>
  <w:style w:type="character" w:customStyle="1" w:styleId="CommentTextChar">
    <w:name w:val="Comment Text Char"/>
    <w:basedOn w:val="DefaultParagraphFont"/>
    <w:link w:val="CommentText"/>
    <w:uiPriority w:val="99"/>
    <w:rsid w:val="00441828"/>
    <w:rPr>
      <w:rFonts w:ascii="Open Sans" w:eastAsia="Times New Roman" w:hAnsi="Open Sans" w:cs="Open Sans"/>
      <w:color w:val="444444"/>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41828"/>
    <w:rPr>
      <w:b/>
      <w:bCs/>
    </w:rPr>
  </w:style>
  <w:style w:type="character" w:customStyle="1" w:styleId="CommentSubjectChar">
    <w:name w:val="Comment Subject Char"/>
    <w:basedOn w:val="CommentTextChar"/>
    <w:link w:val="CommentSubject"/>
    <w:uiPriority w:val="99"/>
    <w:semiHidden/>
    <w:rsid w:val="00441828"/>
    <w:rPr>
      <w:rFonts w:ascii="Open Sans" w:eastAsia="Times New Roman" w:hAnsi="Open Sans" w:cs="Open Sans"/>
      <w:b/>
      <w:bCs/>
      <w:color w:val="444444"/>
      <w:sz w:val="20"/>
      <w:szCs w:val="20"/>
      <w:shd w:val="clear" w:color="auto" w:fill="FFFFFF"/>
    </w:rPr>
  </w:style>
  <w:style w:type="paragraph" w:styleId="BalloonText">
    <w:name w:val="Balloon Text"/>
    <w:basedOn w:val="Normal"/>
    <w:link w:val="BalloonTextChar"/>
    <w:uiPriority w:val="99"/>
    <w:semiHidden/>
    <w:unhideWhenUsed/>
    <w:rsid w:val="004418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28"/>
    <w:rPr>
      <w:rFonts w:ascii="Segoe UI" w:eastAsia="Times New Roman" w:hAnsi="Segoe UI" w:cs="Segoe UI"/>
      <w:color w:val="444444"/>
      <w:sz w:val="18"/>
      <w:szCs w:val="18"/>
      <w:shd w:val="clear" w:color="auto" w:fill="FFFFFF"/>
    </w:rPr>
  </w:style>
  <w:style w:type="character" w:styleId="Hyperlink">
    <w:name w:val="Hyperlink"/>
    <w:basedOn w:val="DefaultParagraphFont"/>
    <w:uiPriority w:val="99"/>
    <w:unhideWhenUsed/>
    <w:rsid w:val="00D14D4E"/>
    <w:rPr>
      <w:color w:val="49A146"/>
      <w:u w:val="single"/>
    </w:rPr>
  </w:style>
  <w:style w:type="character" w:styleId="Mention">
    <w:name w:val="Mention"/>
    <w:basedOn w:val="DefaultParagraphFont"/>
    <w:uiPriority w:val="99"/>
    <w:semiHidden/>
    <w:unhideWhenUsed/>
    <w:rsid w:val="00D14D4E"/>
    <w:rPr>
      <w:color w:val="2B579A"/>
      <w:shd w:val="clear" w:color="auto" w:fill="E6E6E6"/>
    </w:rPr>
  </w:style>
  <w:style w:type="table" w:customStyle="1" w:styleId="RRI">
    <w:name w:val="RRI"/>
    <w:basedOn w:val="GridTable4-Accent6"/>
    <w:uiPriority w:val="99"/>
    <w:rsid w:val="009738ED"/>
    <w:rPr>
      <w:rFonts w:ascii="Open Sans" w:hAnsi="Open Sans"/>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Open Sans" w:hAnsi="Open Sans"/>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l2br w:val="nil"/>
          <w:tr2bl w:val="nil"/>
        </w:tcBorders>
        <w:shd w:val="clear" w:color="auto" w:fill="415A68"/>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2Vert">
      <w:tblPr/>
      <w:tcPr>
        <w:shd w:val="clear" w:color="auto" w:fill="DCE6ED"/>
      </w:tcPr>
    </w:tblStylePr>
    <w:tblStylePr w:type="band1Horz">
      <w:tblPr/>
      <w:tcPr>
        <w:shd w:val="clear" w:color="auto" w:fill="DCE6ED"/>
      </w:tcPr>
    </w:tblStylePr>
  </w:style>
  <w:style w:type="paragraph" w:customStyle="1" w:styleId="AuthorName">
    <w:name w:val="Author Name"/>
    <w:basedOn w:val="Normal"/>
    <w:qFormat/>
    <w:rsid w:val="005E201C"/>
    <w:pPr>
      <w:jc w:val="center"/>
    </w:pPr>
  </w:style>
  <w:style w:type="paragraph" w:styleId="TOCHeading">
    <w:name w:val="TOC Heading"/>
    <w:aliases w:val="Table of Contents Heading"/>
    <w:basedOn w:val="Heading1"/>
    <w:next w:val="Normal"/>
    <w:uiPriority w:val="39"/>
    <w:unhideWhenUsed/>
    <w:qFormat/>
    <w:rsid w:val="003E6BD5"/>
    <w:pPr>
      <w:keepNext/>
      <w:keepLines/>
      <w:shd w:val="clear" w:color="auto" w:fill="auto"/>
      <w:spacing w:after="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DA002E"/>
    <w:pPr>
      <w:tabs>
        <w:tab w:val="right" w:leader="dot" w:pos="9350"/>
      </w:tabs>
      <w:spacing w:after="100"/>
    </w:pPr>
    <w:rPr>
      <w:b/>
      <w:bCs/>
      <w:noProof/>
    </w:rPr>
  </w:style>
  <w:style w:type="paragraph" w:styleId="TOC2">
    <w:name w:val="toc 2"/>
    <w:basedOn w:val="Normal"/>
    <w:next w:val="Normal"/>
    <w:autoRedefine/>
    <w:uiPriority w:val="39"/>
    <w:unhideWhenUsed/>
    <w:rsid w:val="00B352BD"/>
    <w:pPr>
      <w:spacing w:after="100"/>
      <w:ind w:left="220"/>
    </w:pPr>
  </w:style>
  <w:style w:type="paragraph" w:styleId="TOC3">
    <w:name w:val="toc 3"/>
    <w:basedOn w:val="Normal"/>
    <w:next w:val="Normal"/>
    <w:autoRedefine/>
    <w:uiPriority w:val="39"/>
    <w:unhideWhenUsed/>
    <w:rsid w:val="00B352BD"/>
    <w:pPr>
      <w:spacing w:after="100"/>
      <w:ind w:left="440"/>
    </w:pPr>
  </w:style>
  <w:style w:type="paragraph" w:styleId="FootnoteText">
    <w:name w:val="footnote text"/>
    <w:basedOn w:val="Normal"/>
    <w:link w:val="FootnoteTextChar"/>
    <w:uiPriority w:val="99"/>
    <w:semiHidden/>
    <w:unhideWhenUsed/>
    <w:rsid w:val="00603DA5"/>
    <w:pPr>
      <w:shd w:val="clear" w:color="auto" w:fill="auto"/>
      <w:spacing w:before="0"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603DA5"/>
    <w:rPr>
      <w:sz w:val="20"/>
      <w:szCs w:val="20"/>
    </w:rPr>
  </w:style>
  <w:style w:type="character" w:styleId="FootnoteReference">
    <w:name w:val="footnote reference"/>
    <w:basedOn w:val="DefaultParagraphFont"/>
    <w:uiPriority w:val="99"/>
    <w:semiHidden/>
    <w:unhideWhenUsed/>
    <w:rsid w:val="00603DA5"/>
    <w:rPr>
      <w:vertAlign w:val="superscript"/>
    </w:rPr>
  </w:style>
  <w:style w:type="paragraph" w:styleId="Revision">
    <w:name w:val="Revision"/>
    <w:hidden/>
    <w:uiPriority w:val="99"/>
    <w:semiHidden/>
    <w:rsid w:val="00326996"/>
    <w:pPr>
      <w:spacing w:after="0" w:line="240" w:lineRule="auto"/>
    </w:pPr>
    <w:rPr>
      <w:rFonts w:ascii="Open Sans" w:eastAsia="Times New Roman" w:hAnsi="Open Sans" w:cs="Open Sans"/>
      <w:color w:val="444444"/>
      <w:sz w:val="20"/>
    </w:rPr>
  </w:style>
  <w:style w:type="character" w:styleId="UnresolvedMention">
    <w:name w:val="Unresolved Mention"/>
    <w:basedOn w:val="DefaultParagraphFont"/>
    <w:uiPriority w:val="99"/>
    <w:semiHidden/>
    <w:unhideWhenUsed/>
    <w:rsid w:val="0003249A"/>
    <w:rPr>
      <w:color w:val="605E5C"/>
      <w:shd w:val="clear" w:color="auto" w:fill="E1DFDD"/>
    </w:rPr>
  </w:style>
  <w:style w:type="character" w:styleId="FollowedHyperlink">
    <w:name w:val="FollowedHyperlink"/>
    <w:basedOn w:val="DefaultParagraphFont"/>
    <w:uiPriority w:val="99"/>
    <w:semiHidden/>
    <w:unhideWhenUsed/>
    <w:rsid w:val="007E6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htsandresour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53892/RHAA93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3892/UCYL3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5F38-6CBF-42CF-AAD7-24A8D74F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Sanders</dc:creator>
  <cp:keywords/>
  <dc:description/>
  <cp:lastModifiedBy>Carolina Ronconi</cp:lastModifiedBy>
  <cp:revision>4</cp:revision>
  <dcterms:created xsi:type="dcterms:W3CDTF">2022-05-18T13:30:00Z</dcterms:created>
  <dcterms:modified xsi:type="dcterms:W3CDTF">2022-05-18T14:00:00Z</dcterms:modified>
</cp:coreProperties>
</file>