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63B0" w14:textId="77777777" w:rsidR="00441828" w:rsidRDefault="00441828" w:rsidP="00D96A5C">
      <w:pPr>
        <w:pStyle w:val="Subtitle"/>
        <w:jc w:val="center"/>
      </w:pPr>
      <w:r>
        <w:rPr>
          <w:noProof/>
        </w:rPr>
        <w:drawing>
          <wp:inline distT="0" distB="0" distL="0" distR="0" wp14:anchorId="46268ED6" wp14:editId="50427D29">
            <wp:extent cx="380588" cy="5029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R_logo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588" cy="502920"/>
                    </a:xfrm>
                    <a:prstGeom prst="rect">
                      <a:avLst/>
                    </a:prstGeom>
                  </pic:spPr>
                </pic:pic>
              </a:graphicData>
            </a:graphic>
          </wp:inline>
        </w:drawing>
      </w:r>
    </w:p>
    <w:p w14:paraId="6E463B31" w14:textId="3C1B5D7E" w:rsidR="00772BE9" w:rsidRDefault="006F0F82" w:rsidP="00B62CDE">
      <w:pPr>
        <w:pStyle w:val="Subtitle"/>
        <w:jc w:val="center"/>
      </w:pPr>
      <w:r w:rsidRPr="00F039F7">
        <w:rPr>
          <w:rFonts w:eastAsia="Open Sans Light"/>
          <w:szCs w:val="20"/>
          <w:lang w:val="fr-FR"/>
        </w:rPr>
        <w:t xml:space="preserve">Initiative des Droits et Ressources | </w:t>
      </w:r>
      <w:r>
        <w:rPr>
          <w:rFonts w:eastAsia="Open Sans Light"/>
          <w:szCs w:val="20"/>
          <w:lang w:val="fr-FR"/>
        </w:rPr>
        <w:t>dÉcembre</w:t>
      </w:r>
      <w:r w:rsidRPr="007507FD">
        <w:t xml:space="preserve"> </w:t>
      </w:r>
      <w:r w:rsidR="007507FD" w:rsidRPr="007507FD">
        <w:t>20</w:t>
      </w:r>
      <w:r w:rsidR="00AA635E">
        <w:t>2</w:t>
      </w:r>
      <w:r w:rsidR="00A71AAE">
        <w:t>1</w:t>
      </w:r>
    </w:p>
    <w:p w14:paraId="1759AD75" w14:textId="77777777" w:rsidR="00673913" w:rsidRPr="00673913" w:rsidRDefault="00673913" w:rsidP="00673913">
      <w:pPr>
        <w:jc w:val="center"/>
      </w:pPr>
      <w:r>
        <w:rPr>
          <w:noProof/>
        </w:rPr>
        <w:drawing>
          <wp:inline distT="0" distB="0" distL="0" distR="0" wp14:anchorId="21C86A6F" wp14:editId="20A7E451">
            <wp:extent cx="57150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divider.png"/>
                    <pic:cNvPicPr/>
                  </pic:nvPicPr>
                  <pic:blipFill>
                    <a:blip r:embed="rId9">
                      <a:extLst>
                        <a:ext uri="{28A0092B-C50C-407E-A947-70E740481C1C}">
                          <a14:useLocalDpi xmlns:a14="http://schemas.microsoft.com/office/drawing/2010/main" val="0"/>
                        </a:ext>
                      </a:extLst>
                    </a:blip>
                    <a:stretch>
                      <a:fillRect/>
                    </a:stretch>
                  </pic:blipFill>
                  <pic:spPr>
                    <a:xfrm>
                      <a:off x="0" y="0"/>
                      <a:ext cx="5715000" cy="495300"/>
                    </a:xfrm>
                    <a:prstGeom prst="rect">
                      <a:avLst/>
                    </a:prstGeom>
                  </pic:spPr>
                </pic:pic>
              </a:graphicData>
            </a:graphic>
          </wp:inline>
        </w:drawing>
      </w:r>
    </w:p>
    <w:p w14:paraId="4F20C49D" w14:textId="0AC58197" w:rsidR="00201CB9" w:rsidRPr="00201CB9" w:rsidRDefault="00D51667" w:rsidP="00201CB9">
      <w:pPr>
        <w:pStyle w:val="Title"/>
        <w:jc w:val="center"/>
        <w:rPr>
          <w:i w:val="0"/>
          <w:iCs/>
        </w:rPr>
      </w:pPr>
      <w:r w:rsidRPr="00F039F7">
        <w:rPr>
          <w:rFonts w:eastAsia="Libre Baskerville"/>
          <w:i w:val="0"/>
          <w:iCs/>
          <w:lang w:val="fr-FR"/>
        </w:rPr>
        <w:t xml:space="preserve">Supplément 2021 au </w:t>
      </w:r>
      <w:r>
        <w:rPr>
          <w:rFonts w:eastAsia="Libre Baskerville"/>
          <w:i w:val="0"/>
          <w:iCs/>
          <w:lang w:val="fr-FR"/>
        </w:rPr>
        <w:t>C</w:t>
      </w:r>
      <w:r w:rsidRPr="00F039F7">
        <w:rPr>
          <w:rFonts w:eastAsia="Libre Baskerville"/>
          <w:i w:val="0"/>
          <w:iCs/>
          <w:lang w:val="fr-FR"/>
        </w:rPr>
        <w:t>adre de travail sur les opportunités de RRI</w:t>
      </w:r>
    </w:p>
    <w:p w14:paraId="66600F48" w14:textId="1164E0C3" w:rsidR="007507FD" w:rsidRPr="00201CB9" w:rsidRDefault="00D51667" w:rsidP="00201CB9">
      <w:pPr>
        <w:pStyle w:val="Title"/>
        <w:jc w:val="center"/>
        <w:rPr>
          <w:sz w:val="30"/>
          <w:szCs w:val="30"/>
        </w:rPr>
      </w:pPr>
      <w:r w:rsidRPr="00F039F7">
        <w:rPr>
          <w:rFonts w:eastAsia="Libre Baskerville"/>
          <w:iCs/>
          <w:sz w:val="30"/>
          <w:szCs w:val="30"/>
          <w:lang w:val="fr-FR"/>
        </w:rPr>
        <w:t>Évaluations actualisées des possibilités de tenure dans 20 pays</w:t>
      </w:r>
    </w:p>
    <w:p w14:paraId="781FE541" w14:textId="77777777" w:rsidR="00D96A5C" w:rsidRPr="00D96A5C" w:rsidRDefault="00D96A5C" w:rsidP="00E01AD2">
      <w:pPr>
        <w:spacing w:after="360"/>
        <w:jc w:val="center"/>
      </w:pPr>
      <w:r>
        <w:rPr>
          <w:noProof/>
        </w:rPr>
        <w:drawing>
          <wp:inline distT="0" distB="0" distL="0" distR="0" wp14:anchorId="63EEAF8C" wp14:editId="56D16992">
            <wp:extent cx="57150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divider.png"/>
                    <pic:cNvPicPr/>
                  </pic:nvPicPr>
                  <pic:blipFill>
                    <a:blip r:embed="rId9">
                      <a:extLst>
                        <a:ext uri="{28A0092B-C50C-407E-A947-70E740481C1C}">
                          <a14:useLocalDpi xmlns:a14="http://schemas.microsoft.com/office/drawing/2010/main" val="0"/>
                        </a:ext>
                      </a:extLst>
                    </a:blip>
                    <a:stretch>
                      <a:fillRect/>
                    </a:stretch>
                  </pic:blipFill>
                  <pic:spPr>
                    <a:xfrm>
                      <a:off x="0" y="0"/>
                      <a:ext cx="5715000" cy="495300"/>
                    </a:xfrm>
                    <a:prstGeom prst="rect">
                      <a:avLst/>
                    </a:prstGeom>
                  </pic:spPr>
                </pic:pic>
              </a:graphicData>
            </a:graphic>
          </wp:inline>
        </w:drawing>
      </w:r>
    </w:p>
    <w:sdt>
      <w:sdtPr>
        <w:rPr>
          <w:rFonts w:ascii="Open Sans" w:eastAsia="Times New Roman" w:hAnsi="Open Sans" w:cs="Open Sans"/>
          <w:color w:val="444444"/>
          <w:sz w:val="22"/>
          <w:szCs w:val="22"/>
        </w:rPr>
        <w:id w:val="-507450493"/>
        <w:docPartObj>
          <w:docPartGallery w:val="Table of Contents"/>
          <w:docPartUnique/>
        </w:docPartObj>
      </w:sdtPr>
      <w:sdtEndPr>
        <w:rPr>
          <w:noProof/>
          <w:sz w:val="20"/>
        </w:rPr>
      </w:sdtEndPr>
      <w:sdtContent>
        <w:p w14:paraId="7AAAED17" w14:textId="77777777" w:rsidR="00673913" w:rsidRDefault="00673913">
          <w:pPr>
            <w:pStyle w:val="TOCHeading"/>
            <w:rPr>
              <w:rFonts w:ascii="Open Sans" w:eastAsia="Times New Roman" w:hAnsi="Open Sans" w:cs="Open Sans"/>
              <w:color w:val="444444"/>
              <w:sz w:val="22"/>
              <w:szCs w:val="22"/>
            </w:rPr>
          </w:pPr>
        </w:p>
        <w:p w14:paraId="0A567C93" w14:textId="77777777" w:rsidR="00673913" w:rsidRDefault="00673913" w:rsidP="00673913">
          <w:r>
            <w:br w:type="page"/>
          </w:r>
        </w:p>
        <w:p w14:paraId="1541DCC7" w14:textId="77777777" w:rsidR="004C2963" w:rsidRPr="004C2963" w:rsidRDefault="00D51667" w:rsidP="00DA002E">
          <w:pPr>
            <w:pStyle w:val="TOCHeading"/>
            <w:rPr>
              <w:noProof/>
            </w:rPr>
          </w:pPr>
          <w:bookmarkStart w:id="0" w:name="_Toc88152351"/>
          <w:bookmarkStart w:id="1" w:name="_Toc89533342"/>
          <w:bookmarkStart w:id="2" w:name="_Toc103688932"/>
          <w:r w:rsidRPr="00F039F7">
            <w:rPr>
              <w:rStyle w:val="Heading1Char"/>
              <w:rFonts w:eastAsia="Open Sans Semibold"/>
              <w:szCs w:val="24"/>
              <w:lang w:val="fr-FR"/>
            </w:rPr>
            <w:lastRenderedPageBreak/>
            <w:t>Table des matières</w:t>
          </w:r>
          <w:bookmarkEnd w:id="0"/>
          <w:bookmarkEnd w:id="1"/>
          <w:bookmarkEnd w:id="2"/>
          <w:r w:rsidR="00B352BD" w:rsidRPr="004C2963">
            <w:fldChar w:fldCharType="begin"/>
          </w:r>
          <w:r w:rsidR="00B352BD" w:rsidRPr="004C2963">
            <w:instrText xml:space="preserve"> TOC \o "1-3" \h \z \u </w:instrText>
          </w:r>
          <w:r w:rsidR="00B352BD" w:rsidRPr="004C2963">
            <w:fldChar w:fldCharType="separate"/>
          </w:r>
        </w:p>
        <w:p w14:paraId="3F4B2F6B" w14:textId="3EFFC9B7" w:rsidR="004C2963" w:rsidRPr="004C2963" w:rsidRDefault="004C2963">
          <w:pPr>
            <w:pStyle w:val="TOC1"/>
            <w:rPr>
              <w:rFonts w:asciiTheme="minorHAnsi" w:eastAsiaTheme="minorEastAsia" w:hAnsiTheme="minorHAnsi" w:cstheme="minorBidi"/>
              <w:b w:val="0"/>
              <w:bCs w:val="0"/>
              <w:color w:val="auto"/>
              <w:sz w:val="24"/>
              <w:szCs w:val="24"/>
            </w:rPr>
          </w:pPr>
          <w:hyperlink w:anchor="_Toc103688933" w:history="1">
            <w:r w:rsidRPr="004C2963">
              <w:rPr>
                <w:rStyle w:val="Hyperlink"/>
                <w:rFonts w:eastAsia="Open Sans Semibold"/>
                <w:b w:val="0"/>
                <w:bCs w:val="0"/>
                <w:lang w:val="fr-FR"/>
              </w:rPr>
              <w:t>Remerciements</w:t>
            </w:r>
            <w:r w:rsidRPr="004C2963">
              <w:rPr>
                <w:b w:val="0"/>
                <w:bCs w:val="0"/>
                <w:webHidden/>
              </w:rPr>
              <w:tab/>
            </w:r>
            <w:r w:rsidRPr="004C2963">
              <w:rPr>
                <w:b w:val="0"/>
                <w:bCs w:val="0"/>
                <w:webHidden/>
              </w:rPr>
              <w:fldChar w:fldCharType="begin"/>
            </w:r>
            <w:r w:rsidRPr="004C2963">
              <w:rPr>
                <w:b w:val="0"/>
                <w:bCs w:val="0"/>
                <w:webHidden/>
              </w:rPr>
              <w:instrText xml:space="preserve"> PAGEREF _Toc103688933 \h </w:instrText>
            </w:r>
            <w:r w:rsidRPr="004C2963">
              <w:rPr>
                <w:b w:val="0"/>
                <w:bCs w:val="0"/>
                <w:webHidden/>
              </w:rPr>
            </w:r>
            <w:r w:rsidRPr="004C2963">
              <w:rPr>
                <w:b w:val="0"/>
                <w:bCs w:val="0"/>
                <w:webHidden/>
              </w:rPr>
              <w:fldChar w:fldCharType="separate"/>
            </w:r>
            <w:r w:rsidRPr="004C2963">
              <w:rPr>
                <w:b w:val="0"/>
                <w:bCs w:val="0"/>
                <w:webHidden/>
              </w:rPr>
              <w:t>3</w:t>
            </w:r>
            <w:r w:rsidRPr="004C2963">
              <w:rPr>
                <w:b w:val="0"/>
                <w:bCs w:val="0"/>
                <w:webHidden/>
              </w:rPr>
              <w:fldChar w:fldCharType="end"/>
            </w:r>
          </w:hyperlink>
        </w:p>
        <w:p w14:paraId="4266E9F2" w14:textId="6B144977" w:rsidR="004C2963" w:rsidRPr="004C2963" w:rsidRDefault="004C2963">
          <w:pPr>
            <w:pStyle w:val="TOC1"/>
            <w:rPr>
              <w:rFonts w:asciiTheme="minorHAnsi" w:eastAsiaTheme="minorEastAsia" w:hAnsiTheme="minorHAnsi" w:cstheme="minorBidi"/>
              <w:b w:val="0"/>
              <w:bCs w:val="0"/>
              <w:color w:val="auto"/>
              <w:sz w:val="24"/>
              <w:szCs w:val="24"/>
            </w:rPr>
          </w:pPr>
          <w:hyperlink w:anchor="_Toc103688934" w:history="1">
            <w:r w:rsidRPr="004C2963">
              <w:rPr>
                <w:rStyle w:val="Hyperlink"/>
                <w:b w:val="0"/>
                <w:bCs w:val="0"/>
              </w:rPr>
              <w:t>Introduction</w:t>
            </w:r>
            <w:r w:rsidRPr="004C2963">
              <w:rPr>
                <w:b w:val="0"/>
                <w:bCs w:val="0"/>
                <w:webHidden/>
              </w:rPr>
              <w:tab/>
            </w:r>
            <w:r w:rsidRPr="004C2963">
              <w:rPr>
                <w:b w:val="0"/>
                <w:bCs w:val="0"/>
                <w:webHidden/>
              </w:rPr>
              <w:fldChar w:fldCharType="begin"/>
            </w:r>
            <w:r w:rsidRPr="004C2963">
              <w:rPr>
                <w:b w:val="0"/>
                <w:bCs w:val="0"/>
                <w:webHidden/>
              </w:rPr>
              <w:instrText xml:space="preserve"> PAGEREF _Toc103688934 \h </w:instrText>
            </w:r>
            <w:r w:rsidRPr="004C2963">
              <w:rPr>
                <w:b w:val="0"/>
                <w:bCs w:val="0"/>
                <w:webHidden/>
              </w:rPr>
            </w:r>
            <w:r w:rsidRPr="004C2963">
              <w:rPr>
                <w:b w:val="0"/>
                <w:bCs w:val="0"/>
                <w:webHidden/>
              </w:rPr>
              <w:fldChar w:fldCharType="separate"/>
            </w:r>
            <w:r w:rsidRPr="004C2963">
              <w:rPr>
                <w:b w:val="0"/>
                <w:bCs w:val="0"/>
                <w:webHidden/>
              </w:rPr>
              <w:t>4</w:t>
            </w:r>
            <w:r w:rsidRPr="004C2963">
              <w:rPr>
                <w:b w:val="0"/>
                <w:bCs w:val="0"/>
                <w:webHidden/>
              </w:rPr>
              <w:fldChar w:fldCharType="end"/>
            </w:r>
          </w:hyperlink>
        </w:p>
        <w:p w14:paraId="0129CD19" w14:textId="231FDF5B" w:rsidR="004C2963" w:rsidRPr="004C2963" w:rsidRDefault="004C2963">
          <w:pPr>
            <w:pStyle w:val="TOC1"/>
            <w:rPr>
              <w:rFonts w:asciiTheme="minorHAnsi" w:eastAsiaTheme="minorEastAsia" w:hAnsiTheme="minorHAnsi" w:cstheme="minorBidi"/>
              <w:b w:val="0"/>
              <w:bCs w:val="0"/>
              <w:color w:val="auto"/>
              <w:sz w:val="24"/>
              <w:szCs w:val="24"/>
            </w:rPr>
          </w:pPr>
          <w:hyperlink w:anchor="_Toc103688935" w:history="1">
            <w:r w:rsidRPr="004C2963">
              <w:rPr>
                <w:rStyle w:val="Hyperlink"/>
                <w:rFonts w:eastAsia="Open Sans Semibold"/>
                <w:b w:val="0"/>
                <w:bCs w:val="0"/>
                <w:lang w:val="fr-FR"/>
              </w:rPr>
              <w:t>Méthodologie mise à jour du système de notation des paramètres de préparation du Cadre de travail sur les opportunités</w:t>
            </w:r>
            <w:r w:rsidRPr="004C2963">
              <w:rPr>
                <w:b w:val="0"/>
                <w:bCs w:val="0"/>
                <w:webHidden/>
              </w:rPr>
              <w:tab/>
            </w:r>
            <w:r w:rsidRPr="004C2963">
              <w:rPr>
                <w:b w:val="0"/>
                <w:bCs w:val="0"/>
                <w:webHidden/>
              </w:rPr>
              <w:fldChar w:fldCharType="begin"/>
            </w:r>
            <w:r w:rsidRPr="004C2963">
              <w:rPr>
                <w:b w:val="0"/>
                <w:bCs w:val="0"/>
                <w:webHidden/>
              </w:rPr>
              <w:instrText xml:space="preserve"> PAGEREF _Toc103688935 \h </w:instrText>
            </w:r>
            <w:r w:rsidRPr="004C2963">
              <w:rPr>
                <w:b w:val="0"/>
                <w:bCs w:val="0"/>
                <w:webHidden/>
              </w:rPr>
            </w:r>
            <w:r w:rsidRPr="004C2963">
              <w:rPr>
                <w:b w:val="0"/>
                <w:bCs w:val="0"/>
                <w:webHidden/>
              </w:rPr>
              <w:fldChar w:fldCharType="separate"/>
            </w:r>
            <w:r w:rsidRPr="004C2963">
              <w:rPr>
                <w:b w:val="0"/>
                <w:bCs w:val="0"/>
                <w:webHidden/>
              </w:rPr>
              <w:t>5</w:t>
            </w:r>
            <w:r w:rsidRPr="004C2963">
              <w:rPr>
                <w:b w:val="0"/>
                <w:bCs w:val="0"/>
                <w:webHidden/>
              </w:rPr>
              <w:fldChar w:fldCharType="end"/>
            </w:r>
          </w:hyperlink>
        </w:p>
        <w:p w14:paraId="3BADE5F0" w14:textId="63007ED0" w:rsidR="004C2963" w:rsidRPr="004C2963" w:rsidRDefault="004C2963">
          <w:pPr>
            <w:pStyle w:val="TOC3"/>
            <w:tabs>
              <w:tab w:val="right" w:leader="dot" w:pos="9350"/>
            </w:tabs>
            <w:rPr>
              <w:rFonts w:asciiTheme="minorHAnsi" w:eastAsiaTheme="minorEastAsia" w:hAnsiTheme="minorHAnsi" w:cstheme="minorBidi"/>
              <w:noProof/>
              <w:color w:val="auto"/>
              <w:sz w:val="24"/>
              <w:szCs w:val="24"/>
            </w:rPr>
          </w:pPr>
          <w:hyperlink w:anchor="_Toc103688936" w:history="1">
            <w:r w:rsidRPr="004C2963">
              <w:rPr>
                <w:rStyle w:val="Hyperlink"/>
                <w:rFonts w:eastAsia="Open Sans"/>
                <w:noProof/>
                <w:lang w:val="fr-FR"/>
              </w:rPr>
              <w:t>Tableau 1. Méthodologie actualisée du Cadre de travail sur les opportunités</w:t>
            </w:r>
            <w:r w:rsidRPr="004C2963">
              <w:rPr>
                <w:noProof/>
                <w:webHidden/>
              </w:rPr>
              <w:tab/>
            </w:r>
            <w:r w:rsidRPr="004C2963">
              <w:rPr>
                <w:noProof/>
                <w:webHidden/>
              </w:rPr>
              <w:fldChar w:fldCharType="begin"/>
            </w:r>
            <w:r w:rsidRPr="004C2963">
              <w:rPr>
                <w:noProof/>
                <w:webHidden/>
              </w:rPr>
              <w:instrText xml:space="preserve"> PAGEREF _Toc103688936 \h </w:instrText>
            </w:r>
            <w:r w:rsidRPr="004C2963">
              <w:rPr>
                <w:noProof/>
                <w:webHidden/>
              </w:rPr>
            </w:r>
            <w:r w:rsidRPr="004C2963">
              <w:rPr>
                <w:noProof/>
                <w:webHidden/>
              </w:rPr>
              <w:fldChar w:fldCharType="separate"/>
            </w:r>
            <w:r w:rsidRPr="004C2963">
              <w:rPr>
                <w:noProof/>
                <w:webHidden/>
              </w:rPr>
              <w:t>5</w:t>
            </w:r>
            <w:r w:rsidRPr="004C2963">
              <w:rPr>
                <w:noProof/>
                <w:webHidden/>
              </w:rPr>
              <w:fldChar w:fldCharType="end"/>
            </w:r>
          </w:hyperlink>
        </w:p>
        <w:p w14:paraId="195B0853" w14:textId="63761096" w:rsidR="004C2963" w:rsidRPr="004C2963" w:rsidRDefault="004C2963">
          <w:pPr>
            <w:pStyle w:val="TOC3"/>
            <w:tabs>
              <w:tab w:val="right" w:leader="dot" w:pos="9350"/>
            </w:tabs>
            <w:rPr>
              <w:rFonts w:asciiTheme="minorHAnsi" w:eastAsiaTheme="minorEastAsia" w:hAnsiTheme="minorHAnsi" w:cstheme="minorBidi"/>
              <w:noProof/>
              <w:color w:val="auto"/>
              <w:sz w:val="24"/>
              <w:szCs w:val="24"/>
            </w:rPr>
          </w:pPr>
          <w:hyperlink w:anchor="_Toc103688937" w:history="1">
            <w:r w:rsidRPr="004C2963">
              <w:rPr>
                <w:rStyle w:val="Hyperlink"/>
                <w:rFonts w:eastAsia="Open Sans"/>
                <w:noProof/>
                <w:lang w:val="fr-FR"/>
              </w:rPr>
              <w:t>Tableau 2. Résultats pour chaque paramètre de l'état de préparation</w:t>
            </w:r>
            <w:r w:rsidRPr="004C2963">
              <w:rPr>
                <w:noProof/>
                <w:webHidden/>
              </w:rPr>
              <w:tab/>
            </w:r>
            <w:r w:rsidRPr="004C2963">
              <w:rPr>
                <w:noProof/>
                <w:webHidden/>
              </w:rPr>
              <w:fldChar w:fldCharType="begin"/>
            </w:r>
            <w:r w:rsidRPr="004C2963">
              <w:rPr>
                <w:noProof/>
                <w:webHidden/>
              </w:rPr>
              <w:instrText xml:space="preserve"> PAGEREF _Toc103688937 \h </w:instrText>
            </w:r>
            <w:r w:rsidRPr="004C2963">
              <w:rPr>
                <w:noProof/>
                <w:webHidden/>
              </w:rPr>
            </w:r>
            <w:r w:rsidRPr="004C2963">
              <w:rPr>
                <w:noProof/>
                <w:webHidden/>
              </w:rPr>
              <w:fldChar w:fldCharType="separate"/>
            </w:r>
            <w:r w:rsidRPr="004C2963">
              <w:rPr>
                <w:noProof/>
                <w:webHidden/>
              </w:rPr>
              <w:t>8</w:t>
            </w:r>
            <w:r w:rsidRPr="004C2963">
              <w:rPr>
                <w:noProof/>
                <w:webHidden/>
              </w:rPr>
              <w:fldChar w:fldCharType="end"/>
            </w:r>
          </w:hyperlink>
        </w:p>
        <w:p w14:paraId="545B18D1" w14:textId="34048D20" w:rsidR="004C2963" w:rsidRPr="004C2963" w:rsidRDefault="004C2963">
          <w:pPr>
            <w:pStyle w:val="TOC3"/>
            <w:tabs>
              <w:tab w:val="right" w:leader="dot" w:pos="9350"/>
            </w:tabs>
            <w:rPr>
              <w:rFonts w:asciiTheme="minorHAnsi" w:eastAsiaTheme="minorEastAsia" w:hAnsiTheme="minorHAnsi" w:cstheme="minorBidi"/>
              <w:noProof/>
              <w:color w:val="auto"/>
              <w:sz w:val="24"/>
              <w:szCs w:val="24"/>
            </w:rPr>
          </w:pPr>
          <w:hyperlink w:anchor="_Toc103688938" w:history="1">
            <w:r w:rsidRPr="004C2963">
              <w:rPr>
                <w:rStyle w:val="Hyperlink"/>
                <w:rFonts w:eastAsia="Open Sans"/>
                <w:noProof/>
                <w:lang w:val="fr-FR"/>
              </w:rPr>
              <w:t>Tableau 3. État de préparation global</w:t>
            </w:r>
            <w:r w:rsidRPr="004C2963">
              <w:rPr>
                <w:noProof/>
                <w:webHidden/>
              </w:rPr>
              <w:tab/>
            </w:r>
            <w:r w:rsidRPr="004C2963">
              <w:rPr>
                <w:noProof/>
                <w:webHidden/>
              </w:rPr>
              <w:fldChar w:fldCharType="begin"/>
            </w:r>
            <w:r w:rsidRPr="004C2963">
              <w:rPr>
                <w:noProof/>
                <w:webHidden/>
              </w:rPr>
              <w:instrText xml:space="preserve"> PAGEREF _Toc103688938 \h </w:instrText>
            </w:r>
            <w:r w:rsidRPr="004C2963">
              <w:rPr>
                <w:noProof/>
                <w:webHidden/>
              </w:rPr>
            </w:r>
            <w:r w:rsidRPr="004C2963">
              <w:rPr>
                <w:noProof/>
                <w:webHidden/>
              </w:rPr>
              <w:fldChar w:fldCharType="separate"/>
            </w:r>
            <w:r w:rsidRPr="004C2963">
              <w:rPr>
                <w:noProof/>
                <w:webHidden/>
              </w:rPr>
              <w:t>9</w:t>
            </w:r>
            <w:r w:rsidRPr="004C2963">
              <w:rPr>
                <w:noProof/>
                <w:webHidden/>
              </w:rPr>
              <w:fldChar w:fldCharType="end"/>
            </w:r>
          </w:hyperlink>
        </w:p>
        <w:p w14:paraId="45D3DA66" w14:textId="662875DB" w:rsidR="004C2963" w:rsidRPr="004C2963" w:rsidRDefault="004C2963">
          <w:pPr>
            <w:pStyle w:val="TOC1"/>
            <w:rPr>
              <w:rFonts w:asciiTheme="minorHAnsi" w:eastAsiaTheme="minorEastAsia" w:hAnsiTheme="minorHAnsi" w:cstheme="minorBidi"/>
              <w:b w:val="0"/>
              <w:bCs w:val="0"/>
              <w:color w:val="auto"/>
              <w:sz w:val="24"/>
              <w:szCs w:val="24"/>
            </w:rPr>
          </w:pPr>
          <w:hyperlink w:anchor="_Toc103688939" w:history="1">
            <w:r w:rsidRPr="004C2963">
              <w:rPr>
                <w:rStyle w:val="Hyperlink"/>
                <w:rFonts w:eastAsia="Open Sans Semibold"/>
                <w:b w:val="0"/>
                <w:bCs w:val="0"/>
                <w:lang w:val="fr-FR"/>
              </w:rPr>
              <w:t>Conclusions</w:t>
            </w:r>
            <w:r w:rsidRPr="004C2963">
              <w:rPr>
                <w:b w:val="0"/>
                <w:bCs w:val="0"/>
                <w:webHidden/>
              </w:rPr>
              <w:tab/>
            </w:r>
            <w:r w:rsidRPr="004C2963">
              <w:rPr>
                <w:b w:val="0"/>
                <w:bCs w:val="0"/>
                <w:webHidden/>
              </w:rPr>
              <w:fldChar w:fldCharType="begin"/>
            </w:r>
            <w:r w:rsidRPr="004C2963">
              <w:rPr>
                <w:b w:val="0"/>
                <w:bCs w:val="0"/>
                <w:webHidden/>
              </w:rPr>
              <w:instrText xml:space="preserve"> PAGEREF _Toc103688939 \h </w:instrText>
            </w:r>
            <w:r w:rsidRPr="004C2963">
              <w:rPr>
                <w:b w:val="0"/>
                <w:bCs w:val="0"/>
                <w:webHidden/>
              </w:rPr>
            </w:r>
            <w:r w:rsidRPr="004C2963">
              <w:rPr>
                <w:b w:val="0"/>
                <w:bCs w:val="0"/>
                <w:webHidden/>
              </w:rPr>
              <w:fldChar w:fldCharType="separate"/>
            </w:r>
            <w:r w:rsidRPr="004C2963">
              <w:rPr>
                <w:b w:val="0"/>
                <w:bCs w:val="0"/>
                <w:webHidden/>
              </w:rPr>
              <w:t>9</w:t>
            </w:r>
            <w:r w:rsidRPr="004C2963">
              <w:rPr>
                <w:b w:val="0"/>
                <w:bCs w:val="0"/>
                <w:webHidden/>
              </w:rPr>
              <w:fldChar w:fldCharType="end"/>
            </w:r>
          </w:hyperlink>
        </w:p>
        <w:p w14:paraId="6B6E580A" w14:textId="617BE1BF" w:rsidR="004C2963" w:rsidRPr="004C2963" w:rsidRDefault="004C2963">
          <w:pPr>
            <w:pStyle w:val="TOC3"/>
            <w:tabs>
              <w:tab w:val="right" w:leader="dot" w:pos="9350"/>
            </w:tabs>
            <w:rPr>
              <w:rFonts w:asciiTheme="minorHAnsi" w:eastAsiaTheme="minorEastAsia" w:hAnsiTheme="minorHAnsi" w:cstheme="minorBidi"/>
              <w:noProof/>
              <w:color w:val="auto"/>
              <w:sz w:val="24"/>
              <w:szCs w:val="24"/>
            </w:rPr>
          </w:pPr>
          <w:hyperlink w:anchor="_Toc103688940" w:history="1">
            <w:r w:rsidRPr="004C2963">
              <w:rPr>
                <w:rStyle w:val="Hyperlink"/>
                <w:rFonts w:eastAsia="Open Sans"/>
                <w:noProof/>
                <w:lang w:val="fr-FR"/>
              </w:rPr>
              <w:t>Tableau 4. Évaluations du Cadre de travail sur les opportunités 2021 pour 20 pays membres du GATC</w:t>
            </w:r>
            <w:r w:rsidRPr="004C2963">
              <w:rPr>
                <w:noProof/>
                <w:webHidden/>
              </w:rPr>
              <w:tab/>
            </w:r>
            <w:r w:rsidRPr="004C2963">
              <w:rPr>
                <w:noProof/>
                <w:webHidden/>
              </w:rPr>
              <w:fldChar w:fldCharType="begin"/>
            </w:r>
            <w:r w:rsidRPr="004C2963">
              <w:rPr>
                <w:noProof/>
                <w:webHidden/>
              </w:rPr>
              <w:instrText xml:space="preserve"> PAGEREF _Toc103688940 \h </w:instrText>
            </w:r>
            <w:r w:rsidRPr="004C2963">
              <w:rPr>
                <w:noProof/>
                <w:webHidden/>
              </w:rPr>
            </w:r>
            <w:r w:rsidRPr="004C2963">
              <w:rPr>
                <w:noProof/>
                <w:webHidden/>
              </w:rPr>
              <w:fldChar w:fldCharType="separate"/>
            </w:r>
            <w:r w:rsidRPr="004C2963">
              <w:rPr>
                <w:noProof/>
                <w:webHidden/>
              </w:rPr>
              <w:t>9</w:t>
            </w:r>
            <w:r w:rsidRPr="004C2963">
              <w:rPr>
                <w:noProof/>
                <w:webHidden/>
              </w:rPr>
              <w:fldChar w:fldCharType="end"/>
            </w:r>
          </w:hyperlink>
        </w:p>
        <w:p w14:paraId="03346170" w14:textId="2E70E5DF" w:rsidR="004C2963" w:rsidRPr="004C2963" w:rsidRDefault="004C2963">
          <w:pPr>
            <w:pStyle w:val="TOC1"/>
            <w:rPr>
              <w:rFonts w:asciiTheme="minorHAnsi" w:eastAsiaTheme="minorEastAsia" w:hAnsiTheme="minorHAnsi" w:cstheme="minorBidi"/>
              <w:b w:val="0"/>
              <w:bCs w:val="0"/>
              <w:color w:val="auto"/>
              <w:sz w:val="24"/>
              <w:szCs w:val="24"/>
            </w:rPr>
          </w:pPr>
          <w:hyperlink w:anchor="_Toc103688941" w:history="1">
            <w:r w:rsidRPr="004C2963">
              <w:rPr>
                <w:rStyle w:val="Hyperlink"/>
                <w:rFonts w:eastAsia="Open Sans Semibold"/>
                <w:b w:val="0"/>
                <w:bCs w:val="0"/>
                <w:lang w:val="fr-FR"/>
              </w:rPr>
              <w:t>Prochaines étapes</w:t>
            </w:r>
            <w:r w:rsidRPr="004C2963">
              <w:rPr>
                <w:b w:val="0"/>
                <w:bCs w:val="0"/>
                <w:webHidden/>
              </w:rPr>
              <w:tab/>
            </w:r>
            <w:r w:rsidRPr="004C2963">
              <w:rPr>
                <w:b w:val="0"/>
                <w:bCs w:val="0"/>
                <w:webHidden/>
              </w:rPr>
              <w:fldChar w:fldCharType="begin"/>
            </w:r>
            <w:r w:rsidRPr="004C2963">
              <w:rPr>
                <w:b w:val="0"/>
                <w:bCs w:val="0"/>
                <w:webHidden/>
              </w:rPr>
              <w:instrText xml:space="preserve"> PAGEREF _Toc103688941 \h </w:instrText>
            </w:r>
            <w:r w:rsidRPr="004C2963">
              <w:rPr>
                <w:b w:val="0"/>
                <w:bCs w:val="0"/>
                <w:webHidden/>
              </w:rPr>
            </w:r>
            <w:r w:rsidRPr="004C2963">
              <w:rPr>
                <w:b w:val="0"/>
                <w:bCs w:val="0"/>
                <w:webHidden/>
              </w:rPr>
              <w:fldChar w:fldCharType="separate"/>
            </w:r>
            <w:r w:rsidRPr="004C2963">
              <w:rPr>
                <w:b w:val="0"/>
                <w:bCs w:val="0"/>
                <w:webHidden/>
              </w:rPr>
              <w:t>10</w:t>
            </w:r>
            <w:r w:rsidRPr="004C2963">
              <w:rPr>
                <w:b w:val="0"/>
                <w:bCs w:val="0"/>
                <w:webHidden/>
              </w:rPr>
              <w:fldChar w:fldCharType="end"/>
            </w:r>
          </w:hyperlink>
        </w:p>
        <w:p w14:paraId="7FE012D4" w14:textId="63894B04" w:rsidR="00B352BD" w:rsidRPr="004C2963" w:rsidRDefault="00B352BD">
          <w:r w:rsidRPr="004C2963">
            <w:rPr>
              <w:noProof/>
            </w:rPr>
            <w:fldChar w:fldCharType="end"/>
          </w:r>
        </w:p>
      </w:sdtContent>
    </w:sdt>
    <w:p w14:paraId="523F440E" w14:textId="77777777" w:rsidR="00B352BD" w:rsidRDefault="00B352BD" w:rsidP="005919EE">
      <w:pPr>
        <w:pStyle w:val="Heading1"/>
      </w:pPr>
    </w:p>
    <w:p w14:paraId="60229C6F" w14:textId="063DA5E5" w:rsidR="007507FD" w:rsidRPr="00DA002E" w:rsidRDefault="007513DD" w:rsidP="00DA002E">
      <w:pPr>
        <w:pStyle w:val="Heading1"/>
      </w:pPr>
      <w:r>
        <w:br w:type="page"/>
      </w:r>
      <w:bookmarkStart w:id="3" w:name="_Toc89533343"/>
      <w:bookmarkStart w:id="4" w:name="_Toc103688933"/>
      <w:r w:rsidR="00D51667">
        <w:rPr>
          <w:rFonts w:eastAsia="Open Sans Semibold"/>
          <w:szCs w:val="24"/>
          <w:lang w:val="fr-FR"/>
        </w:rPr>
        <w:lastRenderedPageBreak/>
        <w:t>Remerciements</w:t>
      </w:r>
      <w:bookmarkEnd w:id="3"/>
      <w:bookmarkEnd w:id="4"/>
    </w:p>
    <w:p w14:paraId="3C1842BA" w14:textId="77777777" w:rsidR="00D51667" w:rsidRPr="00F039F7" w:rsidRDefault="00D51667" w:rsidP="00D51667">
      <w:pPr>
        <w:jc w:val="both"/>
        <w:rPr>
          <w:lang w:val="fr-FR"/>
        </w:rPr>
      </w:pPr>
      <w:r w:rsidRPr="00F039F7">
        <w:rPr>
          <w:rFonts w:eastAsia="Open Sans"/>
          <w:szCs w:val="20"/>
          <w:lang w:val="fr-FR"/>
        </w:rPr>
        <w:t xml:space="preserve">Ce rapport n’aurait pas été possible sans le soutien, l’énergie et l’analyse des experts suivants qui ont évalué le cadre de travail sur les opportunités menées en 2020 et/ou 2021 : Alejandro </w:t>
      </w:r>
      <w:proofErr w:type="spellStart"/>
      <w:r w:rsidRPr="00F039F7">
        <w:rPr>
          <w:rFonts w:eastAsia="Open Sans"/>
          <w:szCs w:val="20"/>
          <w:lang w:val="fr-FR"/>
        </w:rPr>
        <w:t>Bonilla</w:t>
      </w:r>
      <w:proofErr w:type="spellEnd"/>
      <w:r w:rsidRPr="00F039F7">
        <w:rPr>
          <w:rFonts w:eastAsia="Open Sans"/>
          <w:szCs w:val="20"/>
          <w:lang w:val="fr-FR"/>
        </w:rPr>
        <w:t xml:space="preserve">, Ana Clara </w:t>
      </w:r>
      <w:proofErr w:type="spellStart"/>
      <w:r w:rsidRPr="00F039F7">
        <w:rPr>
          <w:rFonts w:eastAsia="Open Sans"/>
          <w:szCs w:val="20"/>
          <w:lang w:val="fr-FR"/>
        </w:rPr>
        <w:t>Simões</w:t>
      </w:r>
      <w:proofErr w:type="spellEnd"/>
      <w:r w:rsidRPr="00F039F7">
        <w:rPr>
          <w:rFonts w:eastAsia="Open Sans"/>
          <w:szCs w:val="20"/>
          <w:lang w:val="fr-FR"/>
        </w:rPr>
        <w:t xml:space="preserve">, Andrew Davis, </w:t>
      </w:r>
      <w:proofErr w:type="spellStart"/>
      <w:r w:rsidRPr="00F039F7">
        <w:rPr>
          <w:rFonts w:eastAsia="Open Sans"/>
          <w:szCs w:val="20"/>
          <w:lang w:val="fr-FR"/>
        </w:rPr>
        <w:t>Annas</w:t>
      </w:r>
      <w:proofErr w:type="spellEnd"/>
      <w:r w:rsidRPr="00F039F7">
        <w:rPr>
          <w:rFonts w:eastAsia="Open Sans"/>
          <w:szCs w:val="20"/>
          <w:lang w:val="fr-FR"/>
        </w:rPr>
        <w:t xml:space="preserve"> Radin </w:t>
      </w:r>
      <w:proofErr w:type="spellStart"/>
      <w:r w:rsidRPr="00F039F7">
        <w:rPr>
          <w:rFonts w:eastAsia="Open Sans"/>
          <w:szCs w:val="20"/>
          <w:lang w:val="fr-FR"/>
        </w:rPr>
        <w:t>Syarif</w:t>
      </w:r>
      <w:proofErr w:type="spellEnd"/>
      <w:r w:rsidRPr="00F039F7">
        <w:rPr>
          <w:rFonts w:eastAsia="Open Sans"/>
          <w:szCs w:val="20"/>
          <w:lang w:val="fr-FR"/>
        </w:rPr>
        <w:t xml:space="preserve">, </w:t>
      </w:r>
      <w:proofErr w:type="spellStart"/>
      <w:r w:rsidRPr="00F039F7">
        <w:rPr>
          <w:rFonts w:eastAsia="Open Sans"/>
          <w:szCs w:val="20"/>
          <w:lang w:val="fr-FR"/>
        </w:rPr>
        <w:t>Astolfo</w:t>
      </w:r>
      <w:proofErr w:type="spellEnd"/>
      <w:r w:rsidRPr="00F039F7">
        <w:rPr>
          <w:rFonts w:eastAsia="Open Sans"/>
          <w:szCs w:val="20"/>
          <w:lang w:val="fr-FR"/>
        </w:rPr>
        <w:t xml:space="preserve"> </w:t>
      </w:r>
      <w:proofErr w:type="spellStart"/>
      <w:r w:rsidRPr="00F039F7">
        <w:rPr>
          <w:rFonts w:eastAsia="Open Sans"/>
          <w:szCs w:val="20"/>
          <w:lang w:val="fr-FR"/>
        </w:rPr>
        <w:t>Aramburo</w:t>
      </w:r>
      <w:proofErr w:type="spellEnd"/>
      <w:r w:rsidRPr="00F039F7">
        <w:rPr>
          <w:rFonts w:eastAsia="Open Sans"/>
          <w:szCs w:val="20"/>
          <w:lang w:val="fr-FR"/>
        </w:rPr>
        <w:t xml:space="preserve">, Camilo Nino, Cameron Ellis, Carolina Gil </w:t>
      </w:r>
      <w:proofErr w:type="spellStart"/>
      <w:r w:rsidRPr="00F039F7">
        <w:rPr>
          <w:rFonts w:eastAsia="Open Sans"/>
          <w:szCs w:val="20"/>
          <w:lang w:val="fr-FR"/>
        </w:rPr>
        <w:t>Sánchez</w:t>
      </w:r>
      <w:proofErr w:type="spellEnd"/>
      <w:r w:rsidRPr="00F039F7">
        <w:rPr>
          <w:rFonts w:eastAsia="Open Sans"/>
          <w:szCs w:val="20"/>
          <w:lang w:val="fr-FR"/>
        </w:rPr>
        <w:t xml:space="preserve">, Christen </w:t>
      </w:r>
      <w:proofErr w:type="spellStart"/>
      <w:r w:rsidRPr="00F039F7">
        <w:rPr>
          <w:rFonts w:eastAsia="Open Sans"/>
          <w:szCs w:val="20"/>
          <w:lang w:val="fr-FR"/>
        </w:rPr>
        <w:t>Corcoran</w:t>
      </w:r>
      <w:proofErr w:type="spellEnd"/>
      <w:r w:rsidRPr="00F039F7">
        <w:rPr>
          <w:rFonts w:eastAsia="Open Sans"/>
          <w:szCs w:val="20"/>
          <w:lang w:val="fr-FR"/>
        </w:rPr>
        <w:t xml:space="preserve">, Claudette </w:t>
      </w:r>
      <w:proofErr w:type="spellStart"/>
      <w:r w:rsidRPr="00F039F7">
        <w:rPr>
          <w:rFonts w:eastAsia="Open Sans"/>
          <w:szCs w:val="20"/>
          <w:lang w:val="fr-FR"/>
        </w:rPr>
        <w:t>Labonte</w:t>
      </w:r>
      <w:proofErr w:type="spellEnd"/>
      <w:r w:rsidRPr="00F039F7">
        <w:rPr>
          <w:rFonts w:eastAsia="Open Sans"/>
          <w:szCs w:val="20"/>
          <w:lang w:val="fr-FR"/>
        </w:rPr>
        <w:t xml:space="preserve">, Damien Davy, David Bray, Erasmus </w:t>
      </w:r>
      <w:proofErr w:type="spellStart"/>
      <w:r w:rsidRPr="00F039F7">
        <w:rPr>
          <w:rFonts w:eastAsia="Open Sans"/>
          <w:szCs w:val="20"/>
          <w:lang w:val="fr-FR"/>
        </w:rPr>
        <w:t>Cahyadi</w:t>
      </w:r>
      <w:proofErr w:type="spellEnd"/>
      <w:r w:rsidRPr="00F039F7">
        <w:rPr>
          <w:rFonts w:eastAsia="Open Sans"/>
          <w:szCs w:val="20"/>
          <w:lang w:val="fr-FR"/>
        </w:rPr>
        <w:t xml:space="preserve">, </w:t>
      </w:r>
      <w:proofErr w:type="spellStart"/>
      <w:r w:rsidRPr="00F039F7">
        <w:rPr>
          <w:rFonts w:eastAsia="Open Sans"/>
          <w:szCs w:val="20"/>
          <w:lang w:val="fr-FR"/>
        </w:rPr>
        <w:t>Eric</w:t>
      </w:r>
      <w:proofErr w:type="spellEnd"/>
      <w:r w:rsidRPr="00F039F7">
        <w:rPr>
          <w:rFonts w:eastAsia="Open Sans"/>
          <w:szCs w:val="20"/>
          <w:lang w:val="fr-FR"/>
        </w:rPr>
        <w:t xml:space="preserve"> </w:t>
      </w:r>
      <w:proofErr w:type="spellStart"/>
      <w:r w:rsidRPr="00F039F7">
        <w:rPr>
          <w:rFonts w:eastAsia="Open Sans"/>
          <w:szCs w:val="20"/>
          <w:lang w:val="fr-FR"/>
        </w:rPr>
        <w:t>Guillen</w:t>
      </w:r>
      <w:proofErr w:type="spellEnd"/>
      <w:r w:rsidRPr="00F039F7">
        <w:rPr>
          <w:rFonts w:eastAsia="Open Sans"/>
          <w:szCs w:val="20"/>
          <w:lang w:val="fr-FR"/>
        </w:rPr>
        <w:t xml:space="preserve">, Farid W, </w:t>
      </w:r>
      <w:proofErr w:type="spellStart"/>
      <w:r w:rsidRPr="00F039F7">
        <w:rPr>
          <w:rFonts w:eastAsia="Open Sans"/>
          <w:szCs w:val="20"/>
          <w:lang w:val="fr-FR"/>
        </w:rPr>
        <w:t>Fernanda</w:t>
      </w:r>
      <w:proofErr w:type="spellEnd"/>
      <w:r w:rsidRPr="00F039F7">
        <w:rPr>
          <w:rFonts w:eastAsia="Open Sans"/>
          <w:szCs w:val="20"/>
          <w:lang w:val="fr-FR"/>
        </w:rPr>
        <w:t xml:space="preserve"> Almeida, Franck </w:t>
      </w:r>
      <w:proofErr w:type="spellStart"/>
      <w:r w:rsidRPr="00F039F7">
        <w:rPr>
          <w:rFonts w:eastAsia="Open Sans"/>
          <w:szCs w:val="20"/>
          <w:lang w:val="fr-FR"/>
        </w:rPr>
        <w:t>Ndjimbi</w:t>
      </w:r>
      <w:proofErr w:type="spellEnd"/>
      <w:r w:rsidRPr="00F039F7">
        <w:rPr>
          <w:rFonts w:eastAsia="Open Sans"/>
          <w:szCs w:val="20"/>
          <w:lang w:val="fr-FR"/>
        </w:rPr>
        <w:t xml:space="preserve">, </w:t>
      </w:r>
      <w:proofErr w:type="spellStart"/>
      <w:r w:rsidRPr="00F039F7">
        <w:rPr>
          <w:rFonts w:eastAsia="Open Sans"/>
          <w:szCs w:val="20"/>
          <w:lang w:val="fr-FR"/>
        </w:rPr>
        <w:t>Heraclio</w:t>
      </w:r>
      <w:proofErr w:type="spellEnd"/>
      <w:r w:rsidRPr="00F039F7">
        <w:rPr>
          <w:rFonts w:eastAsia="Open Sans"/>
          <w:szCs w:val="20"/>
          <w:lang w:val="fr-FR"/>
        </w:rPr>
        <w:t xml:space="preserve"> Herrera, </w:t>
      </w:r>
      <w:proofErr w:type="spellStart"/>
      <w:r w:rsidRPr="00F039F7">
        <w:rPr>
          <w:rFonts w:eastAsia="Open Sans"/>
          <w:szCs w:val="20"/>
          <w:lang w:val="fr-FR"/>
        </w:rPr>
        <w:t>Illiana</w:t>
      </w:r>
      <w:proofErr w:type="spellEnd"/>
      <w:r w:rsidRPr="00F039F7">
        <w:rPr>
          <w:rFonts w:eastAsia="Open Sans"/>
          <w:szCs w:val="20"/>
          <w:lang w:val="fr-FR"/>
        </w:rPr>
        <w:t xml:space="preserve"> </w:t>
      </w:r>
      <w:proofErr w:type="spellStart"/>
      <w:r w:rsidRPr="00F039F7">
        <w:rPr>
          <w:rFonts w:eastAsia="Open Sans"/>
          <w:szCs w:val="20"/>
          <w:lang w:val="fr-FR"/>
        </w:rPr>
        <w:t>Monterroso</w:t>
      </w:r>
      <w:proofErr w:type="spellEnd"/>
      <w:r w:rsidRPr="00F039F7">
        <w:rPr>
          <w:rFonts w:eastAsia="Open Sans"/>
          <w:szCs w:val="20"/>
          <w:lang w:val="fr-FR"/>
        </w:rPr>
        <w:t xml:space="preserve">, Isabel </w:t>
      </w:r>
      <w:proofErr w:type="spellStart"/>
      <w:r w:rsidRPr="00F039F7">
        <w:rPr>
          <w:rFonts w:eastAsia="Open Sans"/>
          <w:szCs w:val="20"/>
          <w:lang w:val="fr-FR"/>
        </w:rPr>
        <w:t>Picelli</w:t>
      </w:r>
      <w:proofErr w:type="spellEnd"/>
      <w:r w:rsidRPr="00F039F7">
        <w:rPr>
          <w:rFonts w:eastAsia="Open Sans"/>
          <w:szCs w:val="20"/>
          <w:lang w:val="fr-FR"/>
        </w:rPr>
        <w:t xml:space="preserve">, Jean Jacques </w:t>
      </w:r>
      <w:proofErr w:type="spellStart"/>
      <w:r w:rsidRPr="00F039F7">
        <w:rPr>
          <w:rFonts w:eastAsia="Open Sans"/>
          <w:szCs w:val="20"/>
          <w:lang w:val="fr-FR"/>
        </w:rPr>
        <w:t>Mathamale</w:t>
      </w:r>
      <w:proofErr w:type="spellEnd"/>
      <w:r w:rsidRPr="00F039F7">
        <w:rPr>
          <w:rFonts w:eastAsia="Open Sans"/>
          <w:szCs w:val="20"/>
          <w:lang w:val="fr-FR"/>
        </w:rPr>
        <w:t xml:space="preserve">, Jim </w:t>
      </w:r>
      <w:proofErr w:type="spellStart"/>
      <w:r w:rsidRPr="00F039F7">
        <w:rPr>
          <w:rFonts w:eastAsia="Open Sans"/>
          <w:szCs w:val="20"/>
          <w:lang w:val="fr-FR"/>
        </w:rPr>
        <w:t>Smyle</w:t>
      </w:r>
      <w:proofErr w:type="spellEnd"/>
      <w:r w:rsidRPr="00F039F7">
        <w:rPr>
          <w:rFonts w:eastAsia="Open Sans"/>
          <w:szCs w:val="20"/>
          <w:lang w:val="fr-FR"/>
        </w:rPr>
        <w:t xml:space="preserve">, Johana Herrera, José </w:t>
      </w:r>
      <w:proofErr w:type="spellStart"/>
      <w:r w:rsidRPr="00F039F7">
        <w:rPr>
          <w:rFonts w:eastAsia="Open Sans"/>
          <w:szCs w:val="20"/>
          <w:lang w:val="fr-FR"/>
        </w:rPr>
        <w:t>Heder</w:t>
      </w:r>
      <w:proofErr w:type="spellEnd"/>
      <w:r w:rsidRPr="00F039F7">
        <w:rPr>
          <w:rFonts w:eastAsia="Open Sans"/>
          <w:szCs w:val="20"/>
          <w:lang w:val="fr-FR"/>
        </w:rPr>
        <w:t xml:space="preserve"> </w:t>
      </w:r>
      <w:proofErr w:type="spellStart"/>
      <w:r w:rsidRPr="00F039F7">
        <w:rPr>
          <w:rFonts w:eastAsia="Open Sans"/>
          <w:szCs w:val="20"/>
          <w:lang w:val="fr-FR"/>
        </w:rPr>
        <w:t>Benatti</w:t>
      </w:r>
      <w:proofErr w:type="spellEnd"/>
      <w:r w:rsidRPr="00F039F7">
        <w:rPr>
          <w:rFonts w:eastAsia="Open Sans"/>
          <w:szCs w:val="20"/>
          <w:lang w:val="fr-FR"/>
        </w:rPr>
        <w:t xml:space="preserve">, Juan Carlos </w:t>
      </w:r>
      <w:proofErr w:type="spellStart"/>
      <w:r w:rsidRPr="00F039F7">
        <w:rPr>
          <w:rFonts w:eastAsia="Open Sans"/>
          <w:szCs w:val="20"/>
          <w:lang w:val="fr-FR"/>
        </w:rPr>
        <w:t>Jintiach</w:t>
      </w:r>
      <w:proofErr w:type="spellEnd"/>
      <w:r w:rsidRPr="00F039F7">
        <w:rPr>
          <w:rFonts w:eastAsia="Open Sans"/>
          <w:szCs w:val="20"/>
          <w:lang w:val="fr-FR"/>
        </w:rPr>
        <w:t xml:space="preserve">, </w:t>
      </w:r>
      <w:proofErr w:type="spellStart"/>
      <w:r w:rsidRPr="00F039F7">
        <w:rPr>
          <w:rFonts w:eastAsia="Open Sans"/>
          <w:szCs w:val="20"/>
          <w:lang w:val="fr-FR"/>
        </w:rPr>
        <w:t>Laureano</w:t>
      </w:r>
      <w:proofErr w:type="spellEnd"/>
      <w:r w:rsidRPr="00F039F7">
        <w:rPr>
          <w:rFonts w:eastAsia="Open Sans"/>
          <w:szCs w:val="20"/>
          <w:lang w:val="fr-FR"/>
        </w:rPr>
        <w:t xml:space="preserve"> </w:t>
      </w:r>
      <w:proofErr w:type="spellStart"/>
      <w:r w:rsidRPr="00F039F7">
        <w:rPr>
          <w:rFonts w:eastAsia="Open Sans"/>
          <w:szCs w:val="20"/>
          <w:lang w:val="fr-FR"/>
        </w:rPr>
        <w:t>del</w:t>
      </w:r>
      <w:proofErr w:type="spellEnd"/>
      <w:r w:rsidRPr="00F039F7">
        <w:rPr>
          <w:rFonts w:eastAsia="Open Sans"/>
          <w:szCs w:val="20"/>
          <w:lang w:val="fr-FR"/>
        </w:rPr>
        <w:t xml:space="preserve"> Castillo Pinto, Levi Sucre Romero, Liz Alden </w:t>
      </w:r>
      <w:proofErr w:type="spellStart"/>
      <w:r w:rsidRPr="00F039F7">
        <w:rPr>
          <w:rFonts w:eastAsia="Open Sans"/>
          <w:szCs w:val="20"/>
          <w:lang w:val="fr-FR"/>
        </w:rPr>
        <w:t>Wily</w:t>
      </w:r>
      <w:proofErr w:type="spellEnd"/>
      <w:r w:rsidRPr="00F039F7">
        <w:rPr>
          <w:rFonts w:eastAsia="Open Sans"/>
          <w:szCs w:val="20"/>
          <w:lang w:val="fr-FR"/>
        </w:rPr>
        <w:t xml:space="preserve">, Logan Sander, Malcolm </w:t>
      </w:r>
      <w:proofErr w:type="spellStart"/>
      <w:r w:rsidRPr="00F039F7">
        <w:rPr>
          <w:rFonts w:eastAsia="Open Sans"/>
          <w:szCs w:val="20"/>
          <w:lang w:val="fr-FR"/>
        </w:rPr>
        <w:t>Childress</w:t>
      </w:r>
      <w:proofErr w:type="spellEnd"/>
      <w:r w:rsidRPr="00F039F7">
        <w:rPr>
          <w:rFonts w:eastAsia="Open Sans"/>
          <w:szCs w:val="20"/>
          <w:lang w:val="fr-FR"/>
        </w:rPr>
        <w:t xml:space="preserve">, Margarita Flores, Max </w:t>
      </w:r>
      <w:proofErr w:type="spellStart"/>
      <w:r w:rsidRPr="00F039F7">
        <w:rPr>
          <w:rFonts w:eastAsia="Open Sans"/>
          <w:szCs w:val="20"/>
          <w:lang w:val="fr-FR"/>
        </w:rPr>
        <w:t>Ooft</w:t>
      </w:r>
      <w:proofErr w:type="spellEnd"/>
      <w:r w:rsidRPr="00F039F7">
        <w:rPr>
          <w:rFonts w:eastAsia="Open Sans"/>
          <w:szCs w:val="20"/>
          <w:lang w:val="fr-FR"/>
        </w:rPr>
        <w:t xml:space="preserve">, </w:t>
      </w:r>
      <w:proofErr w:type="spellStart"/>
      <w:r w:rsidRPr="00F039F7">
        <w:rPr>
          <w:rFonts w:eastAsia="Open Sans"/>
          <w:szCs w:val="20"/>
          <w:lang w:val="fr-FR"/>
        </w:rPr>
        <w:t>Minu</w:t>
      </w:r>
      <w:proofErr w:type="spellEnd"/>
      <w:r w:rsidRPr="00F039F7">
        <w:rPr>
          <w:rFonts w:eastAsia="Open Sans"/>
          <w:szCs w:val="20"/>
          <w:lang w:val="fr-FR"/>
        </w:rPr>
        <w:t xml:space="preserve"> </w:t>
      </w:r>
      <w:proofErr w:type="spellStart"/>
      <w:r w:rsidRPr="00F039F7">
        <w:rPr>
          <w:rFonts w:eastAsia="Open Sans"/>
          <w:szCs w:val="20"/>
          <w:lang w:val="fr-FR"/>
        </w:rPr>
        <w:t>Parahoe</w:t>
      </w:r>
      <w:proofErr w:type="spellEnd"/>
      <w:r w:rsidRPr="00F039F7">
        <w:rPr>
          <w:rFonts w:eastAsia="Open Sans"/>
          <w:szCs w:val="20"/>
          <w:lang w:val="fr-FR"/>
        </w:rPr>
        <w:t xml:space="preserve">, Monica </w:t>
      </w:r>
      <w:proofErr w:type="spellStart"/>
      <w:r w:rsidRPr="00F039F7">
        <w:rPr>
          <w:rFonts w:eastAsia="Open Sans"/>
          <w:szCs w:val="20"/>
          <w:lang w:val="fr-FR"/>
        </w:rPr>
        <w:t>Kristiani</w:t>
      </w:r>
      <w:proofErr w:type="spellEnd"/>
      <w:r w:rsidRPr="00F039F7">
        <w:rPr>
          <w:rFonts w:eastAsia="Open Sans"/>
          <w:szCs w:val="20"/>
          <w:lang w:val="fr-FR"/>
        </w:rPr>
        <w:t xml:space="preserve"> </w:t>
      </w:r>
      <w:proofErr w:type="spellStart"/>
      <w:r w:rsidRPr="00F039F7">
        <w:rPr>
          <w:rFonts w:eastAsia="Open Sans"/>
          <w:szCs w:val="20"/>
          <w:lang w:val="fr-FR"/>
        </w:rPr>
        <w:t>Ndoen</w:t>
      </w:r>
      <w:proofErr w:type="spellEnd"/>
      <w:r w:rsidRPr="00F039F7">
        <w:rPr>
          <w:rFonts w:eastAsia="Open Sans"/>
          <w:szCs w:val="20"/>
          <w:lang w:val="fr-FR"/>
        </w:rPr>
        <w:t xml:space="preserve">, Peter </w:t>
      </w:r>
      <w:proofErr w:type="spellStart"/>
      <w:r w:rsidRPr="00F039F7">
        <w:rPr>
          <w:rFonts w:eastAsia="Open Sans"/>
          <w:szCs w:val="20"/>
          <w:lang w:val="fr-FR"/>
        </w:rPr>
        <w:t>Cronkleton</w:t>
      </w:r>
      <w:proofErr w:type="spellEnd"/>
      <w:r w:rsidRPr="00F039F7">
        <w:rPr>
          <w:rFonts w:eastAsia="Open Sans"/>
          <w:szCs w:val="20"/>
          <w:lang w:val="fr-FR"/>
        </w:rPr>
        <w:t xml:space="preserve">, Sa Majesté Bruno </w:t>
      </w:r>
      <w:proofErr w:type="spellStart"/>
      <w:r w:rsidRPr="00F039F7">
        <w:rPr>
          <w:rFonts w:eastAsia="Open Sans"/>
          <w:szCs w:val="20"/>
          <w:lang w:val="fr-FR"/>
        </w:rPr>
        <w:t>Mvondo</w:t>
      </w:r>
      <w:proofErr w:type="spellEnd"/>
      <w:r w:rsidRPr="00F039F7">
        <w:rPr>
          <w:rFonts w:eastAsia="Open Sans"/>
          <w:szCs w:val="20"/>
          <w:lang w:val="fr-FR"/>
        </w:rPr>
        <w:t xml:space="preserve">, Natalia Diaz, Samuel </w:t>
      </w:r>
      <w:proofErr w:type="spellStart"/>
      <w:r w:rsidRPr="00F039F7">
        <w:rPr>
          <w:rFonts w:eastAsia="Open Sans"/>
          <w:szCs w:val="20"/>
          <w:lang w:val="fr-FR"/>
        </w:rPr>
        <w:t>Dieval</w:t>
      </w:r>
      <w:proofErr w:type="spellEnd"/>
      <w:r w:rsidRPr="00F039F7">
        <w:rPr>
          <w:rFonts w:eastAsia="Open Sans"/>
          <w:szCs w:val="20"/>
          <w:lang w:val="fr-FR"/>
        </w:rPr>
        <w:t xml:space="preserve">, Silvana </w:t>
      </w:r>
      <w:proofErr w:type="spellStart"/>
      <w:r w:rsidRPr="00F039F7">
        <w:rPr>
          <w:rFonts w:eastAsia="Open Sans"/>
          <w:szCs w:val="20"/>
          <w:lang w:val="fr-FR"/>
        </w:rPr>
        <w:t>Baldovino</w:t>
      </w:r>
      <w:proofErr w:type="spellEnd"/>
      <w:r w:rsidRPr="00F039F7">
        <w:rPr>
          <w:rFonts w:eastAsia="Open Sans"/>
          <w:szCs w:val="20"/>
          <w:lang w:val="fr-FR"/>
        </w:rPr>
        <w:t xml:space="preserve"> </w:t>
      </w:r>
      <w:proofErr w:type="spellStart"/>
      <w:r w:rsidRPr="00F039F7">
        <w:rPr>
          <w:rFonts w:eastAsia="Open Sans"/>
          <w:szCs w:val="20"/>
          <w:lang w:val="fr-FR"/>
        </w:rPr>
        <w:t>Beas</w:t>
      </w:r>
      <w:proofErr w:type="spellEnd"/>
      <w:r w:rsidRPr="00F039F7">
        <w:rPr>
          <w:rFonts w:eastAsia="Open Sans"/>
          <w:szCs w:val="20"/>
          <w:lang w:val="fr-FR"/>
        </w:rPr>
        <w:t xml:space="preserve">, </w:t>
      </w:r>
      <w:proofErr w:type="spellStart"/>
      <w:r w:rsidRPr="00F039F7">
        <w:rPr>
          <w:rFonts w:eastAsia="Open Sans"/>
          <w:szCs w:val="20"/>
          <w:lang w:val="fr-FR"/>
        </w:rPr>
        <w:t>Silvel</w:t>
      </w:r>
      <w:proofErr w:type="spellEnd"/>
      <w:r w:rsidRPr="00F039F7">
        <w:rPr>
          <w:rFonts w:eastAsia="Open Sans"/>
          <w:szCs w:val="20"/>
          <w:lang w:val="fr-FR"/>
        </w:rPr>
        <w:t xml:space="preserve"> </w:t>
      </w:r>
      <w:proofErr w:type="spellStart"/>
      <w:r w:rsidRPr="00F039F7">
        <w:rPr>
          <w:rFonts w:eastAsia="Open Sans"/>
          <w:szCs w:val="20"/>
          <w:lang w:val="fr-FR"/>
        </w:rPr>
        <w:t>Elías</w:t>
      </w:r>
      <w:proofErr w:type="spellEnd"/>
      <w:r w:rsidRPr="00F039F7">
        <w:rPr>
          <w:rFonts w:eastAsia="Open Sans"/>
          <w:szCs w:val="20"/>
          <w:lang w:val="fr-FR"/>
        </w:rPr>
        <w:t xml:space="preserve">, et Vanda </w:t>
      </w:r>
      <w:proofErr w:type="spellStart"/>
      <w:r w:rsidRPr="00F039F7">
        <w:rPr>
          <w:rFonts w:eastAsia="Open Sans"/>
          <w:szCs w:val="20"/>
          <w:lang w:val="fr-FR"/>
        </w:rPr>
        <w:t>Radzick</w:t>
      </w:r>
      <w:proofErr w:type="spellEnd"/>
      <w:r w:rsidRPr="00F039F7">
        <w:rPr>
          <w:rFonts w:eastAsia="Open Sans"/>
          <w:szCs w:val="20"/>
          <w:lang w:val="fr-FR"/>
        </w:rPr>
        <w:t>.</w:t>
      </w:r>
    </w:p>
    <w:p w14:paraId="09C4BEF4" w14:textId="77777777" w:rsidR="00D51667" w:rsidRPr="00F039F7" w:rsidRDefault="00D51667" w:rsidP="00D51667">
      <w:pPr>
        <w:jc w:val="both"/>
        <w:rPr>
          <w:lang w:val="fr-FR"/>
        </w:rPr>
      </w:pPr>
      <w:r w:rsidRPr="00F039F7">
        <w:rPr>
          <w:rFonts w:eastAsia="Open Sans"/>
          <w:szCs w:val="20"/>
          <w:lang w:val="fr-FR"/>
        </w:rPr>
        <w:t xml:space="preserve">Ce document, qui s'appuie sur le </w:t>
      </w:r>
      <w:r>
        <w:rPr>
          <w:rFonts w:eastAsia="Open Sans"/>
          <w:szCs w:val="20"/>
          <w:lang w:val="fr-FR"/>
        </w:rPr>
        <w:t>C</w:t>
      </w:r>
      <w:r w:rsidRPr="00F039F7">
        <w:rPr>
          <w:rFonts w:eastAsia="Open Sans"/>
          <w:szCs w:val="20"/>
          <w:lang w:val="fr-FR"/>
        </w:rPr>
        <w:t xml:space="preserve">adre de travail sur les opportunités 2020, est le </w:t>
      </w:r>
      <w:r>
        <w:rPr>
          <w:rFonts w:eastAsia="Open Sans"/>
          <w:szCs w:val="20"/>
          <w:lang w:val="fr-FR"/>
        </w:rPr>
        <w:t>résultat</w:t>
      </w:r>
      <w:r w:rsidRPr="00F039F7">
        <w:rPr>
          <w:rFonts w:eastAsia="Open Sans"/>
          <w:szCs w:val="20"/>
          <w:lang w:val="fr-FR"/>
        </w:rPr>
        <w:t xml:space="preserve"> d'un effort de collaboration </w:t>
      </w:r>
      <w:r>
        <w:rPr>
          <w:rFonts w:eastAsia="Open Sans"/>
          <w:szCs w:val="20"/>
          <w:lang w:val="fr-FR"/>
        </w:rPr>
        <w:t>soutenu par</w:t>
      </w:r>
      <w:r w:rsidRPr="00F039F7">
        <w:rPr>
          <w:rFonts w:eastAsia="Open Sans"/>
          <w:szCs w:val="20"/>
          <w:lang w:val="fr-FR"/>
        </w:rPr>
        <w:t xml:space="preserve"> </w:t>
      </w:r>
      <w:r>
        <w:rPr>
          <w:rFonts w:eastAsia="Open Sans"/>
          <w:szCs w:val="20"/>
          <w:lang w:val="fr-FR"/>
        </w:rPr>
        <w:t xml:space="preserve">le </w:t>
      </w:r>
      <w:r w:rsidRPr="00F039F7">
        <w:rPr>
          <w:rFonts w:eastAsia="Open Sans"/>
          <w:szCs w:val="20"/>
          <w:lang w:val="fr-FR"/>
        </w:rPr>
        <w:t xml:space="preserve">personnel du Groupe des </w:t>
      </w:r>
      <w:r>
        <w:rPr>
          <w:rFonts w:eastAsia="Open Sans"/>
          <w:szCs w:val="20"/>
          <w:lang w:val="fr-FR"/>
        </w:rPr>
        <w:t>d</w:t>
      </w:r>
      <w:r w:rsidRPr="00F039F7">
        <w:rPr>
          <w:rFonts w:eastAsia="Open Sans"/>
          <w:szCs w:val="20"/>
          <w:lang w:val="fr-FR"/>
        </w:rPr>
        <w:t xml:space="preserve">roits et </w:t>
      </w:r>
      <w:r>
        <w:rPr>
          <w:rFonts w:eastAsia="Open Sans"/>
          <w:szCs w:val="20"/>
          <w:lang w:val="fr-FR"/>
        </w:rPr>
        <w:t>des r</w:t>
      </w:r>
      <w:r w:rsidRPr="00F039F7">
        <w:rPr>
          <w:rFonts w:eastAsia="Open Sans"/>
          <w:szCs w:val="20"/>
          <w:lang w:val="fr-FR"/>
        </w:rPr>
        <w:t xml:space="preserve">essources (RRG), notamment Alain </w:t>
      </w:r>
      <w:proofErr w:type="spellStart"/>
      <w:r w:rsidRPr="00F039F7">
        <w:rPr>
          <w:rFonts w:eastAsia="Open Sans"/>
          <w:szCs w:val="20"/>
          <w:lang w:val="fr-FR"/>
        </w:rPr>
        <w:t>Frechette</w:t>
      </w:r>
      <w:proofErr w:type="spellEnd"/>
      <w:r w:rsidRPr="00F039F7">
        <w:rPr>
          <w:rFonts w:eastAsia="Open Sans"/>
          <w:szCs w:val="20"/>
          <w:lang w:val="fr-FR"/>
        </w:rPr>
        <w:t xml:space="preserve">, </w:t>
      </w:r>
      <w:proofErr w:type="spellStart"/>
      <w:r w:rsidRPr="00F039F7">
        <w:rPr>
          <w:rFonts w:eastAsia="Open Sans"/>
          <w:szCs w:val="20"/>
          <w:lang w:val="fr-FR"/>
        </w:rPr>
        <w:t>Chloe</w:t>
      </w:r>
      <w:proofErr w:type="spellEnd"/>
      <w:r w:rsidRPr="00F039F7">
        <w:rPr>
          <w:rFonts w:eastAsia="Open Sans"/>
          <w:szCs w:val="20"/>
          <w:lang w:val="fr-FR"/>
        </w:rPr>
        <w:t xml:space="preserve"> Ginsburg et David </w:t>
      </w:r>
      <w:proofErr w:type="spellStart"/>
      <w:r w:rsidRPr="00F039F7">
        <w:rPr>
          <w:rFonts w:eastAsia="Open Sans"/>
          <w:szCs w:val="20"/>
          <w:lang w:val="fr-FR"/>
        </w:rPr>
        <w:t>Kroeker</w:t>
      </w:r>
      <w:proofErr w:type="spellEnd"/>
      <w:r w:rsidRPr="00F039F7">
        <w:rPr>
          <w:rFonts w:eastAsia="Open Sans"/>
          <w:szCs w:val="20"/>
          <w:lang w:val="fr-FR"/>
        </w:rPr>
        <w:t xml:space="preserve">-Maus. </w:t>
      </w:r>
      <w:proofErr w:type="spellStart"/>
      <w:r w:rsidRPr="00F039F7">
        <w:rPr>
          <w:rFonts w:eastAsia="Open Sans"/>
          <w:szCs w:val="20"/>
          <w:lang w:val="fr-FR"/>
        </w:rPr>
        <w:t>Kundan</w:t>
      </w:r>
      <w:proofErr w:type="spellEnd"/>
      <w:r w:rsidRPr="00F039F7">
        <w:rPr>
          <w:rFonts w:eastAsia="Open Sans"/>
          <w:szCs w:val="20"/>
          <w:lang w:val="fr-FR"/>
        </w:rPr>
        <w:t xml:space="preserve"> Kumar, </w:t>
      </w:r>
      <w:proofErr w:type="spellStart"/>
      <w:r w:rsidRPr="00F039F7">
        <w:rPr>
          <w:rFonts w:eastAsia="Open Sans"/>
          <w:szCs w:val="20"/>
          <w:lang w:val="fr-FR"/>
        </w:rPr>
        <w:t>Omaira</w:t>
      </w:r>
      <w:proofErr w:type="spellEnd"/>
      <w:r w:rsidRPr="00F039F7">
        <w:rPr>
          <w:rFonts w:eastAsia="Open Sans"/>
          <w:szCs w:val="20"/>
          <w:lang w:val="fr-FR"/>
        </w:rPr>
        <w:t xml:space="preserve"> </w:t>
      </w:r>
      <w:proofErr w:type="spellStart"/>
      <w:r w:rsidRPr="00F039F7">
        <w:rPr>
          <w:rFonts w:eastAsia="Open Sans"/>
          <w:szCs w:val="20"/>
          <w:lang w:val="fr-FR"/>
        </w:rPr>
        <w:t>Bolaños</w:t>
      </w:r>
      <w:proofErr w:type="spellEnd"/>
      <w:r w:rsidRPr="00F039F7">
        <w:rPr>
          <w:rFonts w:eastAsia="Open Sans"/>
          <w:szCs w:val="20"/>
          <w:lang w:val="fr-FR"/>
        </w:rPr>
        <w:t xml:space="preserve"> et Patrick </w:t>
      </w:r>
      <w:proofErr w:type="spellStart"/>
      <w:r w:rsidRPr="00F039F7">
        <w:rPr>
          <w:rFonts w:eastAsia="Open Sans"/>
          <w:szCs w:val="20"/>
          <w:lang w:val="fr-FR"/>
        </w:rPr>
        <w:t>Kipalu</w:t>
      </w:r>
      <w:proofErr w:type="spellEnd"/>
      <w:r w:rsidRPr="00F039F7">
        <w:rPr>
          <w:rFonts w:eastAsia="Open Sans"/>
          <w:szCs w:val="20"/>
          <w:lang w:val="fr-FR"/>
        </w:rPr>
        <w:t xml:space="preserve"> ont fourni des informations qui ont permis d'élaborer </w:t>
      </w:r>
      <w:r>
        <w:rPr>
          <w:rFonts w:eastAsia="Open Sans"/>
          <w:szCs w:val="20"/>
          <w:lang w:val="fr-FR"/>
        </w:rPr>
        <w:t>l</w:t>
      </w:r>
      <w:r w:rsidRPr="00F039F7">
        <w:rPr>
          <w:rFonts w:eastAsia="Open Sans"/>
          <w:szCs w:val="20"/>
          <w:lang w:val="fr-FR"/>
        </w:rPr>
        <w:t xml:space="preserve">es méthodes et </w:t>
      </w:r>
      <w:r>
        <w:rPr>
          <w:rFonts w:eastAsia="Open Sans"/>
          <w:szCs w:val="20"/>
          <w:lang w:val="fr-FR"/>
        </w:rPr>
        <w:t>l</w:t>
      </w:r>
      <w:r w:rsidRPr="00F039F7">
        <w:rPr>
          <w:rFonts w:eastAsia="Open Sans"/>
          <w:szCs w:val="20"/>
          <w:lang w:val="fr-FR"/>
        </w:rPr>
        <w:t>es évaluations pour 2020 et 2021</w:t>
      </w:r>
      <w:r>
        <w:rPr>
          <w:rFonts w:eastAsia="Open Sans"/>
          <w:szCs w:val="20"/>
          <w:lang w:val="fr-FR"/>
        </w:rPr>
        <w:t xml:space="preserve"> </w:t>
      </w:r>
      <w:r w:rsidRPr="00F039F7">
        <w:rPr>
          <w:rFonts w:eastAsia="Open Sans"/>
          <w:szCs w:val="20"/>
          <w:lang w:val="fr-FR"/>
        </w:rPr>
        <w:t>pour l'Asie, l'Amérique latine et l'Afrique</w:t>
      </w:r>
      <w:r>
        <w:rPr>
          <w:rFonts w:eastAsia="Open Sans"/>
          <w:szCs w:val="20"/>
          <w:lang w:val="fr-FR"/>
        </w:rPr>
        <w:t xml:space="preserve"> respectivement</w:t>
      </w:r>
      <w:r w:rsidRPr="00F039F7">
        <w:rPr>
          <w:rFonts w:eastAsia="Open Sans"/>
          <w:szCs w:val="20"/>
          <w:lang w:val="fr-FR"/>
        </w:rPr>
        <w:t xml:space="preserve">. </w:t>
      </w:r>
    </w:p>
    <w:p w14:paraId="4397AD43" w14:textId="5BDE40E6" w:rsidR="00772BE9" w:rsidRDefault="00D51667" w:rsidP="00D51667">
      <w:pPr>
        <w:jc w:val="both"/>
      </w:pPr>
      <w:r w:rsidRPr="00F039F7">
        <w:rPr>
          <w:rFonts w:eastAsia="Open Sans"/>
          <w:szCs w:val="20"/>
          <w:lang w:val="fr-FR"/>
        </w:rPr>
        <w:t xml:space="preserve">Les consultations </w:t>
      </w:r>
      <w:r>
        <w:rPr>
          <w:rFonts w:eastAsia="Open Sans"/>
          <w:szCs w:val="20"/>
          <w:lang w:val="fr-FR"/>
        </w:rPr>
        <w:t xml:space="preserve">pour ce document </w:t>
      </w:r>
      <w:r w:rsidRPr="00F039F7">
        <w:rPr>
          <w:rFonts w:eastAsia="Open Sans"/>
          <w:szCs w:val="20"/>
          <w:lang w:val="fr-FR"/>
        </w:rPr>
        <w:t xml:space="preserve">n'auraient pas été possibles sans le soutien additionnel, la coordination et les idées de Cécile Stone et Michel Laforge de l'Alliance mondiale des communautés territoriales (GATC), ainsi que le soutien linguistique essentiel </w:t>
      </w:r>
      <w:proofErr w:type="spellStart"/>
      <w:r w:rsidRPr="00F039F7">
        <w:rPr>
          <w:rFonts w:eastAsia="Open Sans"/>
          <w:szCs w:val="20"/>
          <w:lang w:val="fr-FR"/>
        </w:rPr>
        <w:t>d'Eric</w:t>
      </w:r>
      <w:proofErr w:type="spellEnd"/>
      <w:r w:rsidRPr="00F039F7">
        <w:rPr>
          <w:rFonts w:eastAsia="Open Sans"/>
          <w:szCs w:val="20"/>
          <w:lang w:val="fr-FR"/>
        </w:rPr>
        <w:t xml:space="preserve"> Teller et </w:t>
      </w:r>
      <w:proofErr w:type="spellStart"/>
      <w:r w:rsidRPr="00F039F7">
        <w:rPr>
          <w:rFonts w:eastAsia="Open Sans"/>
          <w:szCs w:val="20"/>
          <w:lang w:val="fr-FR"/>
        </w:rPr>
        <w:t>Lorene</w:t>
      </w:r>
      <w:proofErr w:type="spellEnd"/>
      <w:r w:rsidRPr="00F039F7">
        <w:rPr>
          <w:rFonts w:eastAsia="Open Sans"/>
          <w:szCs w:val="20"/>
          <w:lang w:val="fr-FR"/>
        </w:rPr>
        <w:t xml:space="preserve"> Moran-Valenzuela d</w:t>
      </w:r>
      <w:r>
        <w:rPr>
          <w:rFonts w:eastAsia="Open Sans"/>
          <w:szCs w:val="20"/>
          <w:lang w:val="fr-FR"/>
        </w:rPr>
        <w:t>e RRG.</w:t>
      </w:r>
    </w:p>
    <w:p w14:paraId="1E827BA4" w14:textId="77777777" w:rsidR="00230436" w:rsidRPr="00772BE9" w:rsidRDefault="00230436" w:rsidP="00603DA5">
      <w:pPr>
        <w:jc w:val="both"/>
      </w:pPr>
    </w:p>
    <w:p w14:paraId="0C265668" w14:textId="77777777" w:rsidR="00326996" w:rsidRDefault="00326996">
      <w:pPr>
        <w:shd w:val="clear" w:color="auto" w:fill="auto"/>
        <w:spacing w:before="0" w:after="160" w:line="259" w:lineRule="auto"/>
        <w:rPr>
          <w:rFonts w:ascii="Open Sans Semibold" w:hAnsi="Open Sans Semibold" w:cs="Open Sans Semibold"/>
          <w:color w:val="49A146"/>
          <w:sz w:val="24"/>
        </w:rPr>
      </w:pPr>
      <w:r>
        <w:br w:type="page"/>
      </w:r>
    </w:p>
    <w:p w14:paraId="2CDEC9D8" w14:textId="5B0CB2A2" w:rsidR="00616716" w:rsidRPr="005919EE" w:rsidRDefault="00603DA5" w:rsidP="005919EE">
      <w:pPr>
        <w:pStyle w:val="Heading1"/>
      </w:pPr>
      <w:bookmarkStart w:id="5" w:name="_Toc103688934"/>
      <w:r>
        <w:lastRenderedPageBreak/>
        <w:t>Introduction</w:t>
      </w:r>
      <w:bookmarkEnd w:id="5"/>
    </w:p>
    <w:p w14:paraId="0E20AFBE" w14:textId="1BB72BC9" w:rsidR="00D51667" w:rsidRPr="00F039F7" w:rsidRDefault="00D51667" w:rsidP="00D51667">
      <w:pPr>
        <w:jc w:val="both"/>
        <w:rPr>
          <w:lang w:val="fr-FR"/>
        </w:rPr>
      </w:pPr>
      <w:r w:rsidRPr="00F039F7">
        <w:rPr>
          <w:rFonts w:eastAsia="Open Sans"/>
          <w:szCs w:val="20"/>
          <w:lang w:val="fr-FR"/>
        </w:rPr>
        <w:t xml:space="preserve">Ce supplément met à jour et développe le </w:t>
      </w:r>
      <w:hyperlink r:id="rId10" w:history="1">
        <w:r w:rsidRPr="00D51667">
          <w:rPr>
            <w:rStyle w:val="Hyperlink"/>
            <w:rFonts w:eastAsia="Open Sans"/>
            <w:szCs w:val="20"/>
            <w:lang w:val="fr-FR"/>
          </w:rPr>
          <w:t>Cadre de travail sur les oppor</w:t>
        </w:r>
        <w:r w:rsidRPr="00D51667">
          <w:rPr>
            <w:rStyle w:val="Hyperlink"/>
            <w:rFonts w:eastAsia="Open Sans"/>
            <w:szCs w:val="20"/>
            <w:lang w:val="fr-FR"/>
          </w:rPr>
          <w:t>t</w:t>
        </w:r>
        <w:r w:rsidRPr="00D51667">
          <w:rPr>
            <w:rStyle w:val="Hyperlink"/>
            <w:rFonts w:eastAsia="Open Sans"/>
            <w:szCs w:val="20"/>
            <w:lang w:val="fr-FR"/>
          </w:rPr>
          <w:t>unités,</w:t>
        </w:r>
      </w:hyperlink>
      <w:r w:rsidRPr="00F039F7">
        <w:rPr>
          <w:rFonts w:eastAsia="Open Sans"/>
          <w:szCs w:val="20"/>
          <w:lang w:val="fr-FR"/>
        </w:rPr>
        <w:t xml:space="preserve"> qui a été publié par l’Initiative des </w:t>
      </w:r>
      <w:r>
        <w:rPr>
          <w:rFonts w:eastAsia="Open Sans"/>
          <w:szCs w:val="20"/>
          <w:lang w:val="fr-FR"/>
        </w:rPr>
        <w:t>d</w:t>
      </w:r>
      <w:r w:rsidRPr="00F039F7">
        <w:rPr>
          <w:rFonts w:eastAsia="Open Sans"/>
          <w:szCs w:val="20"/>
          <w:lang w:val="fr-FR"/>
        </w:rPr>
        <w:t xml:space="preserve">roits et </w:t>
      </w:r>
      <w:r>
        <w:rPr>
          <w:rFonts w:eastAsia="Open Sans"/>
          <w:szCs w:val="20"/>
          <w:lang w:val="fr-FR"/>
        </w:rPr>
        <w:t>r</w:t>
      </w:r>
      <w:r w:rsidRPr="00F039F7">
        <w:rPr>
          <w:rFonts w:eastAsia="Open Sans"/>
          <w:szCs w:val="20"/>
          <w:lang w:val="fr-FR"/>
        </w:rPr>
        <w:t xml:space="preserve">essources (RRI) en 2020, afin d'englober les pays représentés par les membres de l'Alliance mondiale des communautés territoriales (GATC). Le GATC est une coalition de peuples autochtones et de communautés locales de 24 pays du bassin amazonien, du Brésil, d'Afrique centrale, d'Indonésie et de Méso-Amérique. Parmi ces pays, 20 ont été analysés pour déterminer s'ils étaient prêts à avancer et à mettre en œuvre des projets de réforme en matière de droits fonciers. </w:t>
      </w:r>
    </w:p>
    <w:p w14:paraId="1702C45F" w14:textId="77777777" w:rsidR="00D51667" w:rsidRPr="00F039F7" w:rsidRDefault="00D51667" w:rsidP="00D51667">
      <w:pPr>
        <w:jc w:val="both"/>
        <w:rPr>
          <w:lang w:val="fr-FR"/>
        </w:rPr>
      </w:pPr>
      <w:r w:rsidRPr="00F039F7">
        <w:rPr>
          <w:rFonts w:eastAsia="Open Sans"/>
          <w:szCs w:val="20"/>
          <w:lang w:val="fr-FR"/>
        </w:rPr>
        <w:t xml:space="preserve">Le </w:t>
      </w:r>
      <w:r>
        <w:rPr>
          <w:rFonts w:eastAsia="Open Sans"/>
          <w:szCs w:val="20"/>
          <w:lang w:val="fr-FR"/>
        </w:rPr>
        <w:t>C</w:t>
      </w:r>
      <w:r w:rsidRPr="00F039F7">
        <w:rPr>
          <w:rFonts w:eastAsia="Open Sans"/>
          <w:szCs w:val="20"/>
          <w:lang w:val="fr-FR"/>
        </w:rPr>
        <w:t xml:space="preserve">adre de travail sur les opportunités identifie cinq conditions essentielles qui peuvent indiquer que les pays sont prêts à mener des réformes et des projets à grande échelle, permettant de sécuriser les droits fonciers communautaires : </w:t>
      </w:r>
    </w:p>
    <w:p w14:paraId="60343AC4" w14:textId="77777777" w:rsidR="00D51667" w:rsidRPr="00F039F7" w:rsidRDefault="00D51667" w:rsidP="00D51667">
      <w:pPr>
        <w:pStyle w:val="ListParagraph"/>
        <w:numPr>
          <w:ilvl w:val="0"/>
          <w:numId w:val="4"/>
        </w:numPr>
        <w:jc w:val="both"/>
        <w:rPr>
          <w:lang w:val="fr-FR"/>
        </w:rPr>
      </w:pPr>
      <w:r w:rsidRPr="00F039F7">
        <w:rPr>
          <w:rFonts w:eastAsia="Open Sans"/>
          <w:szCs w:val="20"/>
          <w:lang w:val="fr-FR"/>
        </w:rPr>
        <w:t xml:space="preserve">L'adéquation des </w:t>
      </w:r>
      <w:r w:rsidRPr="00F039F7">
        <w:rPr>
          <w:rFonts w:eastAsia="Open Sans"/>
          <w:b/>
          <w:bCs/>
          <w:szCs w:val="20"/>
          <w:lang w:val="fr-FR"/>
        </w:rPr>
        <w:t xml:space="preserve">cadres juridiques </w:t>
      </w:r>
      <w:r w:rsidRPr="00F039F7">
        <w:rPr>
          <w:rFonts w:eastAsia="Open Sans"/>
          <w:szCs w:val="20"/>
          <w:lang w:val="fr-FR"/>
        </w:rPr>
        <w:t xml:space="preserve">nationaux reconnaissant les droits de tenure forestière des </w:t>
      </w:r>
      <w:r>
        <w:rPr>
          <w:rFonts w:eastAsia="Open Sans"/>
          <w:szCs w:val="20"/>
          <w:lang w:val="fr-FR"/>
        </w:rPr>
        <w:t>peuples</w:t>
      </w:r>
      <w:r w:rsidRPr="00F039F7">
        <w:rPr>
          <w:rFonts w:eastAsia="Open Sans"/>
          <w:szCs w:val="20"/>
          <w:lang w:val="fr-FR"/>
        </w:rPr>
        <w:t xml:space="preserve"> autochtones, des </w:t>
      </w:r>
      <w:r>
        <w:rPr>
          <w:rFonts w:eastAsia="Open Sans"/>
          <w:szCs w:val="20"/>
          <w:lang w:val="fr-FR"/>
        </w:rPr>
        <w:t>peuples</w:t>
      </w:r>
      <w:r w:rsidRPr="00F039F7">
        <w:rPr>
          <w:rFonts w:eastAsia="Open Sans"/>
          <w:szCs w:val="20"/>
          <w:lang w:val="fr-FR"/>
        </w:rPr>
        <w:t xml:space="preserve"> </w:t>
      </w:r>
      <w:r>
        <w:rPr>
          <w:rFonts w:eastAsia="Open Sans"/>
          <w:szCs w:val="20"/>
          <w:lang w:val="fr-FR"/>
        </w:rPr>
        <w:t xml:space="preserve">afro-descendants </w:t>
      </w:r>
      <w:r w:rsidRPr="00F039F7">
        <w:rPr>
          <w:rFonts w:eastAsia="Open Sans"/>
          <w:szCs w:val="20"/>
          <w:lang w:val="fr-FR"/>
        </w:rPr>
        <w:t xml:space="preserve">et des communautés locales ; </w:t>
      </w:r>
    </w:p>
    <w:p w14:paraId="4EBF4B44" w14:textId="77777777" w:rsidR="00D51667" w:rsidRPr="00F039F7" w:rsidRDefault="00D51667" w:rsidP="00D51667">
      <w:pPr>
        <w:pStyle w:val="ListParagraph"/>
        <w:numPr>
          <w:ilvl w:val="0"/>
          <w:numId w:val="4"/>
        </w:numPr>
        <w:jc w:val="both"/>
        <w:rPr>
          <w:lang w:val="fr-FR"/>
        </w:rPr>
      </w:pPr>
      <w:r w:rsidRPr="00F039F7">
        <w:rPr>
          <w:rFonts w:eastAsia="Open Sans"/>
          <w:b/>
          <w:bCs/>
          <w:szCs w:val="20"/>
          <w:lang w:val="fr-FR"/>
        </w:rPr>
        <w:t>La volonté du gouvernement national</w:t>
      </w:r>
      <w:r w:rsidRPr="00F039F7">
        <w:rPr>
          <w:rFonts w:eastAsia="Open Sans"/>
          <w:szCs w:val="20"/>
          <w:lang w:val="fr-FR"/>
        </w:rPr>
        <w:t xml:space="preserve"> de faire progresser les droits fonciers communautaires ;</w:t>
      </w:r>
    </w:p>
    <w:p w14:paraId="1BB75648" w14:textId="77777777" w:rsidR="00D51667" w:rsidRPr="00F039F7" w:rsidRDefault="00D51667" w:rsidP="00D51667">
      <w:pPr>
        <w:pStyle w:val="ListParagraph"/>
        <w:numPr>
          <w:ilvl w:val="0"/>
          <w:numId w:val="4"/>
        </w:numPr>
        <w:jc w:val="both"/>
        <w:rPr>
          <w:lang w:val="fr-FR"/>
        </w:rPr>
      </w:pPr>
      <w:r w:rsidRPr="00F039F7">
        <w:rPr>
          <w:rFonts w:eastAsia="Open Sans"/>
          <w:b/>
          <w:bCs/>
          <w:szCs w:val="20"/>
          <w:lang w:val="fr-FR"/>
        </w:rPr>
        <w:t xml:space="preserve">La volonté du gouvernement </w:t>
      </w:r>
      <w:r>
        <w:rPr>
          <w:rFonts w:eastAsia="Open Sans"/>
          <w:b/>
          <w:bCs/>
          <w:szCs w:val="20"/>
          <w:lang w:val="fr-FR"/>
        </w:rPr>
        <w:t>infra</w:t>
      </w:r>
      <w:r w:rsidRPr="00F039F7">
        <w:rPr>
          <w:rFonts w:eastAsia="Open Sans"/>
          <w:b/>
          <w:bCs/>
          <w:szCs w:val="20"/>
          <w:lang w:val="fr-FR"/>
        </w:rPr>
        <w:t>national</w:t>
      </w:r>
      <w:r w:rsidRPr="00F039F7">
        <w:rPr>
          <w:rFonts w:eastAsia="Open Sans"/>
          <w:szCs w:val="20"/>
          <w:lang w:val="fr-FR"/>
        </w:rPr>
        <w:t xml:space="preserve"> de faire progresser les droits fonciers communautaires,</w:t>
      </w:r>
      <w:r>
        <w:rPr>
          <w:rFonts w:eastAsia="Open Sans"/>
          <w:szCs w:val="20"/>
          <w:lang w:val="fr-FR"/>
        </w:rPr>
        <w:t xml:space="preserve"> le cas échéant</w:t>
      </w:r>
      <w:r w:rsidRPr="00F039F7">
        <w:rPr>
          <w:rFonts w:eastAsia="Open Sans"/>
          <w:szCs w:val="20"/>
          <w:lang w:val="fr-FR"/>
        </w:rPr>
        <w:t xml:space="preserve"> ; </w:t>
      </w:r>
    </w:p>
    <w:p w14:paraId="6375D52E" w14:textId="77777777" w:rsidR="00D51667" w:rsidRPr="00F039F7" w:rsidRDefault="00D51667" w:rsidP="00D51667">
      <w:pPr>
        <w:pStyle w:val="ListParagraph"/>
        <w:numPr>
          <w:ilvl w:val="0"/>
          <w:numId w:val="4"/>
        </w:numPr>
        <w:jc w:val="both"/>
        <w:rPr>
          <w:lang w:val="fr-FR"/>
        </w:rPr>
      </w:pPr>
      <w:r>
        <w:rPr>
          <w:rFonts w:eastAsia="Open Sans"/>
          <w:b/>
          <w:bCs/>
          <w:szCs w:val="20"/>
          <w:lang w:val="fr-FR"/>
        </w:rPr>
        <w:t>La c</w:t>
      </w:r>
      <w:r w:rsidRPr="00F039F7">
        <w:rPr>
          <w:rFonts w:eastAsia="Open Sans"/>
          <w:b/>
          <w:bCs/>
          <w:szCs w:val="20"/>
          <w:lang w:val="fr-FR"/>
        </w:rPr>
        <w:t>apacité du gouvernement</w:t>
      </w:r>
      <w:r w:rsidRPr="00F039F7">
        <w:rPr>
          <w:rFonts w:eastAsia="Open Sans"/>
          <w:szCs w:val="20"/>
          <w:lang w:val="fr-FR"/>
        </w:rPr>
        <w:t xml:space="preserve"> à mettre en œuvre les lois et </w:t>
      </w:r>
      <w:r>
        <w:rPr>
          <w:rFonts w:eastAsia="Open Sans"/>
          <w:szCs w:val="20"/>
          <w:lang w:val="fr-FR"/>
        </w:rPr>
        <w:t xml:space="preserve">les </w:t>
      </w:r>
      <w:r w:rsidRPr="00F039F7">
        <w:rPr>
          <w:rFonts w:eastAsia="Open Sans"/>
          <w:szCs w:val="20"/>
          <w:lang w:val="fr-FR"/>
        </w:rPr>
        <w:t>règlements relatifs à la reconnaissance des droits fonciers communautaires aux niveaux national et infranational ; et</w:t>
      </w:r>
    </w:p>
    <w:p w14:paraId="3A803B6D" w14:textId="4D70CE19" w:rsidR="00D51667" w:rsidRPr="00F039F7" w:rsidRDefault="00D51667" w:rsidP="00D51667">
      <w:pPr>
        <w:pStyle w:val="ListParagraph"/>
        <w:numPr>
          <w:ilvl w:val="0"/>
          <w:numId w:val="4"/>
        </w:numPr>
        <w:jc w:val="both"/>
        <w:rPr>
          <w:lang w:val="fr-FR"/>
        </w:rPr>
      </w:pPr>
      <w:r>
        <w:rPr>
          <w:rFonts w:eastAsia="Open Sans"/>
          <w:b/>
          <w:bCs/>
          <w:szCs w:val="20"/>
          <w:lang w:val="fr-FR"/>
        </w:rPr>
        <w:t>La c</w:t>
      </w:r>
      <w:r w:rsidRPr="00F039F7">
        <w:rPr>
          <w:rFonts w:eastAsia="Open Sans"/>
          <w:b/>
          <w:bCs/>
          <w:szCs w:val="20"/>
          <w:lang w:val="fr-FR"/>
        </w:rPr>
        <w:t>apacité des organisations de défense des droits et de la société civile</w:t>
      </w:r>
      <w:r w:rsidRPr="00F039F7">
        <w:rPr>
          <w:rFonts w:eastAsia="Open Sans"/>
          <w:szCs w:val="20"/>
          <w:lang w:val="fr-FR"/>
        </w:rPr>
        <w:t xml:space="preserve"> à </w:t>
      </w:r>
      <w:r>
        <w:rPr>
          <w:rFonts w:eastAsia="Open Sans"/>
          <w:szCs w:val="20"/>
          <w:lang w:val="fr-FR"/>
        </w:rPr>
        <w:t xml:space="preserve">soutenir </w:t>
      </w:r>
      <w:r w:rsidRPr="00F039F7">
        <w:rPr>
          <w:rFonts w:eastAsia="Open Sans"/>
          <w:szCs w:val="20"/>
          <w:lang w:val="fr-FR"/>
        </w:rPr>
        <w:t xml:space="preserve">la mise en œuvre des lois et des </w:t>
      </w:r>
      <w:r w:rsidR="00F21596" w:rsidRPr="00F039F7">
        <w:rPr>
          <w:rFonts w:eastAsia="Open Sans"/>
          <w:szCs w:val="20"/>
          <w:lang w:val="fr-FR"/>
        </w:rPr>
        <w:t>règlements</w:t>
      </w:r>
      <w:r w:rsidRPr="00F039F7">
        <w:rPr>
          <w:rFonts w:eastAsia="Open Sans"/>
          <w:szCs w:val="20"/>
          <w:lang w:val="fr-FR"/>
        </w:rPr>
        <w:t xml:space="preserve"> relatifs à la reconnaissance des droits fonciers communautaires aux niveaux national et infranational.</w:t>
      </w:r>
    </w:p>
    <w:p w14:paraId="647485C9" w14:textId="77777777" w:rsidR="00D51667" w:rsidRPr="00F039F7" w:rsidRDefault="00D51667" w:rsidP="00D51667">
      <w:pPr>
        <w:jc w:val="both"/>
        <w:rPr>
          <w:lang w:val="fr-FR"/>
        </w:rPr>
      </w:pPr>
      <w:r w:rsidRPr="00F039F7">
        <w:rPr>
          <w:rFonts w:eastAsia="Open Sans"/>
          <w:szCs w:val="20"/>
          <w:lang w:val="fr-FR"/>
        </w:rPr>
        <w:t xml:space="preserve">Le </w:t>
      </w:r>
      <w:r>
        <w:rPr>
          <w:rFonts w:eastAsia="Open Sans"/>
          <w:szCs w:val="20"/>
          <w:lang w:val="fr-FR"/>
        </w:rPr>
        <w:t>C</w:t>
      </w:r>
      <w:r w:rsidRPr="00F039F7">
        <w:rPr>
          <w:rFonts w:eastAsia="Open Sans"/>
          <w:szCs w:val="20"/>
          <w:lang w:val="fr-FR"/>
        </w:rPr>
        <w:t>adre fournit un instrument opportun pour identifier les forces et les faiblesses des environnements juridiques, institutionnels et politiques de ces pays. En identifiant les obstacles qui entravent les réformes au niveau national, les parties prenantes peuvent identifier les domaines où les ressources sont les plus nécessaires. Ces ressources peuvent ensuite être allouées aux projets et initiatives qui ont le plus d'impact sur la tenure forestière des peuples autochtones, des peuples</w:t>
      </w:r>
      <w:r>
        <w:rPr>
          <w:rFonts w:eastAsia="Open Sans"/>
          <w:szCs w:val="20"/>
          <w:lang w:val="fr-FR"/>
        </w:rPr>
        <w:t xml:space="preserve"> afro-descendants</w:t>
      </w:r>
      <w:r w:rsidRPr="00F039F7">
        <w:rPr>
          <w:rFonts w:eastAsia="Open Sans"/>
          <w:szCs w:val="20"/>
          <w:lang w:val="fr-FR"/>
        </w:rPr>
        <w:t xml:space="preserve"> et des communautés locales.</w:t>
      </w:r>
    </w:p>
    <w:p w14:paraId="1EC7E33E" w14:textId="238F7867" w:rsidR="00230436" w:rsidRDefault="00D51667" w:rsidP="00603DA5">
      <w:pPr>
        <w:jc w:val="both"/>
      </w:pPr>
      <w:r w:rsidRPr="00F039F7">
        <w:rPr>
          <w:rFonts w:eastAsia="Open Sans"/>
          <w:szCs w:val="20"/>
          <w:lang w:val="fr-FR"/>
        </w:rPr>
        <w:t xml:space="preserve">Le </w:t>
      </w:r>
      <w:r>
        <w:rPr>
          <w:rFonts w:eastAsia="Open Sans"/>
          <w:szCs w:val="20"/>
          <w:lang w:val="fr-FR"/>
        </w:rPr>
        <w:t>C</w:t>
      </w:r>
      <w:r w:rsidRPr="00F039F7">
        <w:rPr>
          <w:rFonts w:eastAsia="Open Sans"/>
          <w:szCs w:val="20"/>
          <w:lang w:val="fr-FR"/>
        </w:rPr>
        <w:t xml:space="preserve">adre de travail sur les opportunités s'appuie sur une variété de sources </w:t>
      </w:r>
      <w:r>
        <w:rPr>
          <w:rFonts w:eastAsia="Open Sans"/>
          <w:szCs w:val="20"/>
          <w:lang w:val="fr-FR"/>
        </w:rPr>
        <w:t xml:space="preserve">- </w:t>
      </w:r>
      <w:r w:rsidRPr="00F039F7">
        <w:rPr>
          <w:rFonts w:eastAsia="Open Sans"/>
          <w:szCs w:val="20"/>
          <w:lang w:val="fr-FR"/>
        </w:rPr>
        <w:t xml:space="preserve">consultations avec des experts techniques et politiques travaillant dans chaque pays, données existantes de suivi sur la tenure de RRI, et analyses d'Almeida </w:t>
      </w:r>
      <w:proofErr w:type="spellStart"/>
      <w:r w:rsidRPr="00F039F7">
        <w:rPr>
          <w:rFonts w:eastAsia="Open Sans"/>
          <w:szCs w:val="20"/>
          <w:lang w:val="fr-FR"/>
        </w:rPr>
        <w:t>Dohrn</w:t>
      </w:r>
      <w:proofErr w:type="spellEnd"/>
      <w:r w:rsidRPr="00F039F7">
        <w:rPr>
          <w:rFonts w:eastAsia="Open Sans"/>
          <w:szCs w:val="20"/>
          <w:lang w:val="fr-FR"/>
        </w:rPr>
        <w:t xml:space="preserve"> </w:t>
      </w:r>
      <w:proofErr w:type="spellStart"/>
      <w:r w:rsidRPr="00F039F7">
        <w:rPr>
          <w:rFonts w:eastAsia="Open Sans"/>
          <w:szCs w:val="20"/>
          <w:lang w:val="fr-FR"/>
        </w:rPr>
        <w:t>Consultoria</w:t>
      </w:r>
      <w:proofErr w:type="spellEnd"/>
      <w:r w:rsidRPr="00F039F7">
        <w:rPr>
          <w:rFonts w:eastAsia="Open Sans"/>
          <w:szCs w:val="20"/>
          <w:lang w:val="fr-FR"/>
        </w:rPr>
        <w:t>, LTDA, et de la Global Land Alliance</w:t>
      </w:r>
      <w:r>
        <w:rPr>
          <w:rFonts w:eastAsia="Open Sans"/>
          <w:szCs w:val="20"/>
          <w:lang w:val="fr-FR"/>
        </w:rPr>
        <w:t xml:space="preserve"> -</w:t>
      </w:r>
      <w:r w:rsidRPr="00F039F7">
        <w:rPr>
          <w:rFonts w:eastAsia="Open Sans"/>
          <w:szCs w:val="20"/>
          <w:lang w:val="fr-FR"/>
        </w:rPr>
        <w:t xml:space="preserve"> pour évaluer l'état des facteurs favorables ci-dessus pour faire avancer et mettre en œuvre les réformes de tenure collective. Les évaluations des cadres juridiques nationaux pour la reconnaissance des droits de tenure forestière collecti</w:t>
      </w:r>
      <w:r>
        <w:rPr>
          <w:rFonts w:eastAsia="Open Sans"/>
          <w:szCs w:val="20"/>
          <w:lang w:val="fr-FR"/>
        </w:rPr>
        <w:t>ve</w:t>
      </w:r>
      <w:r w:rsidRPr="00F039F7">
        <w:rPr>
          <w:rFonts w:eastAsia="Open Sans"/>
          <w:szCs w:val="20"/>
          <w:lang w:val="fr-FR"/>
        </w:rPr>
        <w:t xml:space="preserve"> sont </w:t>
      </w:r>
      <w:r>
        <w:rPr>
          <w:rFonts w:eastAsia="Open Sans"/>
          <w:szCs w:val="20"/>
          <w:lang w:val="fr-FR"/>
        </w:rPr>
        <w:t>basées</w:t>
      </w:r>
      <w:r w:rsidRPr="00F039F7">
        <w:rPr>
          <w:rFonts w:eastAsia="Open Sans"/>
          <w:szCs w:val="20"/>
          <w:lang w:val="fr-FR"/>
        </w:rPr>
        <w:t xml:space="preserve"> sur la présence de régimes de tenure communautaires,</w:t>
      </w:r>
      <w:r w:rsidRPr="00F039F7">
        <w:rPr>
          <w:rStyle w:val="FootnoteReference"/>
          <w:lang w:val="fr-FR"/>
        </w:rPr>
        <w:footnoteReference w:id="1"/>
      </w:r>
      <w:r w:rsidRPr="00F039F7">
        <w:rPr>
          <w:rFonts w:eastAsia="Open Sans"/>
          <w:szCs w:val="20"/>
          <w:lang w:val="fr-FR"/>
        </w:rPr>
        <w:t xml:space="preserve"> classés comme </w:t>
      </w:r>
      <w:r w:rsidRPr="00F039F7">
        <w:rPr>
          <w:rFonts w:eastAsia="Open Sans"/>
          <w:i/>
          <w:iCs/>
          <w:szCs w:val="20"/>
          <w:lang w:val="fr-FR"/>
        </w:rPr>
        <w:t>désignés pour</w:t>
      </w:r>
      <w:r w:rsidRPr="00F039F7">
        <w:rPr>
          <w:rFonts w:eastAsia="Open Sans"/>
          <w:szCs w:val="20"/>
          <w:lang w:val="fr-FR"/>
        </w:rPr>
        <w:t xml:space="preserve"> ou </w:t>
      </w:r>
      <w:r w:rsidRPr="00F039F7">
        <w:rPr>
          <w:rFonts w:eastAsia="Open Sans"/>
          <w:i/>
          <w:iCs/>
          <w:szCs w:val="20"/>
          <w:lang w:val="fr-FR"/>
        </w:rPr>
        <w:t>détenus</w:t>
      </w:r>
      <w:r w:rsidRPr="00F039F7">
        <w:rPr>
          <w:rFonts w:eastAsia="Open Sans"/>
          <w:szCs w:val="20"/>
          <w:lang w:val="fr-FR"/>
        </w:rPr>
        <w:t xml:space="preserve"> </w:t>
      </w:r>
      <w:r w:rsidRPr="00F039F7">
        <w:rPr>
          <w:rFonts w:eastAsia="Open Sans"/>
          <w:i/>
          <w:iCs/>
          <w:szCs w:val="20"/>
          <w:lang w:val="fr-FR"/>
        </w:rPr>
        <w:t xml:space="preserve">par </w:t>
      </w:r>
      <w:r w:rsidRPr="00F039F7">
        <w:rPr>
          <w:rFonts w:eastAsia="Open Sans"/>
          <w:szCs w:val="20"/>
          <w:lang w:val="fr-FR"/>
        </w:rPr>
        <w:t xml:space="preserve">ces communautés conformément à la typologie statutaire </w:t>
      </w:r>
      <w:r w:rsidRPr="00F039F7">
        <w:rPr>
          <w:rFonts w:eastAsia="Open Sans"/>
          <w:szCs w:val="20"/>
          <w:lang w:val="fr-FR"/>
        </w:rPr>
        <w:lastRenderedPageBreak/>
        <w:t>de RRI.</w:t>
      </w:r>
      <w:r w:rsidRPr="00F039F7">
        <w:rPr>
          <w:rStyle w:val="FootnoteReference"/>
          <w:lang w:val="fr-FR"/>
        </w:rPr>
        <w:footnoteReference w:id="2"/>
      </w:r>
      <w:r w:rsidRPr="00F039F7">
        <w:rPr>
          <w:rFonts w:eastAsia="Open Sans"/>
          <w:szCs w:val="20"/>
          <w:lang w:val="fr-FR"/>
        </w:rPr>
        <w:t xml:space="preserve"> Les évaluations de la volonté et de la capacité des gouvernements reposent sur des avis d'experts et des analyses externes.</w:t>
      </w:r>
    </w:p>
    <w:p w14:paraId="3F92EAF0" w14:textId="5C226FC2" w:rsidR="009D1F38" w:rsidRPr="009D1F38" w:rsidRDefault="00F21596" w:rsidP="00F21596">
      <w:pPr>
        <w:pStyle w:val="Heading1"/>
        <w:jc w:val="both"/>
      </w:pPr>
      <w:bookmarkStart w:id="6" w:name="_Toc89533345"/>
      <w:bookmarkStart w:id="7" w:name="_Toc103688935"/>
      <w:r w:rsidRPr="00F039F7">
        <w:rPr>
          <w:rFonts w:eastAsia="Open Sans Semibold"/>
          <w:szCs w:val="24"/>
          <w:lang w:val="fr-FR"/>
        </w:rPr>
        <w:t xml:space="preserve">Méthodologie mise à jour du système de notation des paramètres de préparation du </w:t>
      </w:r>
      <w:r>
        <w:rPr>
          <w:rFonts w:eastAsia="Open Sans Semibold"/>
          <w:szCs w:val="24"/>
          <w:lang w:val="fr-FR"/>
        </w:rPr>
        <w:t>C</w:t>
      </w:r>
      <w:r w:rsidRPr="00F039F7">
        <w:rPr>
          <w:rFonts w:eastAsia="Open Sans Semibold"/>
          <w:szCs w:val="24"/>
          <w:lang w:val="fr-FR"/>
        </w:rPr>
        <w:t>adre de travail sur les opportunités</w:t>
      </w:r>
      <w:bookmarkEnd w:id="6"/>
      <w:bookmarkEnd w:id="7"/>
    </w:p>
    <w:p w14:paraId="2D793CAD" w14:textId="77777777" w:rsidR="00F21596" w:rsidRPr="00F039F7" w:rsidRDefault="00F21596" w:rsidP="00F21596">
      <w:pPr>
        <w:jc w:val="both"/>
        <w:rPr>
          <w:lang w:val="fr-FR"/>
        </w:rPr>
      </w:pPr>
      <w:r w:rsidRPr="00F039F7">
        <w:rPr>
          <w:rFonts w:eastAsia="Open Sans"/>
          <w:szCs w:val="20"/>
          <w:lang w:val="fr-FR"/>
        </w:rPr>
        <w:t xml:space="preserve">Sur la base des expériences et des enseignements tirés de l'analyse du </w:t>
      </w:r>
      <w:r>
        <w:rPr>
          <w:rFonts w:eastAsia="Open Sans"/>
          <w:szCs w:val="20"/>
          <w:lang w:val="fr-FR"/>
        </w:rPr>
        <w:t>C</w:t>
      </w:r>
      <w:r w:rsidRPr="00F039F7">
        <w:rPr>
          <w:rFonts w:eastAsia="Open Sans"/>
          <w:szCs w:val="20"/>
          <w:lang w:val="fr-FR"/>
        </w:rPr>
        <w:t xml:space="preserve">adre de travail sur les opportunités 2020, un cadre d'évaluation standardisé a été élaboré pour fournir une note indicative reflétant le statut des facteurs favorables. Les catégories Adéquation juridique, Volonté du gouvernement et Capacité sont </w:t>
      </w:r>
      <w:r>
        <w:rPr>
          <w:rFonts w:eastAsia="Open Sans"/>
          <w:szCs w:val="20"/>
          <w:lang w:val="fr-FR"/>
        </w:rPr>
        <w:t>soumises à</w:t>
      </w:r>
      <w:r w:rsidRPr="00F039F7">
        <w:rPr>
          <w:rFonts w:eastAsia="Open Sans"/>
          <w:szCs w:val="20"/>
          <w:lang w:val="fr-FR"/>
        </w:rPr>
        <w:t xml:space="preserve"> </w:t>
      </w:r>
      <w:r>
        <w:rPr>
          <w:rFonts w:eastAsia="Open Sans"/>
          <w:szCs w:val="20"/>
          <w:lang w:val="fr-FR"/>
        </w:rPr>
        <w:t>d</w:t>
      </w:r>
      <w:r w:rsidRPr="00F039F7">
        <w:rPr>
          <w:rFonts w:eastAsia="Open Sans"/>
          <w:szCs w:val="20"/>
          <w:lang w:val="fr-FR"/>
        </w:rPr>
        <w:t>es évaluations « </w:t>
      </w:r>
      <w:r>
        <w:rPr>
          <w:rFonts w:eastAsia="Open Sans"/>
          <w:szCs w:val="20"/>
          <w:lang w:val="fr-FR"/>
        </w:rPr>
        <w:t>convenable</w:t>
      </w:r>
      <w:r w:rsidRPr="00F039F7">
        <w:rPr>
          <w:rFonts w:eastAsia="Open Sans"/>
          <w:szCs w:val="20"/>
          <w:lang w:val="fr-FR"/>
        </w:rPr>
        <w:t> », « </w:t>
      </w:r>
      <w:r>
        <w:rPr>
          <w:rFonts w:eastAsia="Open Sans"/>
          <w:szCs w:val="20"/>
          <w:lang w:val="fr-FR"/>
        </w:rPr>
        <w:t>plutôt convenable</w:t>
      </w:r>
      <w:r w:rsidRPr="00F039F7">
        <w:rPr>
          <w:rFonts w:eastAsia="Open Sans"/>
          <w:szCs w:val="20"/>
          <w:lang w:val="fr-FR"/>
        </w:rPr>
        <w:t> » ou « in</w:t>
      </w:r>
      <w:r>
        <w:rPr>
          <w:rFonts w:eastAsia="Open Sans"/>
          <w:szCs w:val="20"/>
          <w:lang w:val="fr-FR"/>
        </w:rPr>
        <w:t>suffisant</w:t>
      </w:r>
      <w:r w:rsidRPr="00F039F7">
        <w:rPr>
          <w:rFonts w:eastAsia="Open Sans"/>
          <w:szCs w:val="20"/>
          <w:lang w:val="fr-FR"/>
        </w:rPr>
        <w:t xml:space="preserve"> » selon la méthodologie décrite ci-dessous. </w:t>
      </w:r>
    </w:p>
    <w:p w14:paraId="35473A9C" w14:textId="20F995F5" w:rsidR="00230436" w:rsidRDefault="00F21596" w:rsidP="00F21596">
      <w:pPr>
        <w:jc w:val="both"/>
        <w:rPr>
          <w:rFonts w:eastAsia="Open Sans"/>
          <w:szCs w:val="20"/>
          <w:lang w:val="fr-FR"/>
        </w:rPr>
      </w:pPr>
      <w:r w:rsidRPr="00F039F7">
        <w:rPr>
          <w:rFonts w:eastAsia="Open Sans"/>
          <w:szCs w:val="20"/>
          <w:lang w:val="fr-FR"/>
        </w:rPr>
        <w:t>Une évaluation « adéquate » indique que le seuil minimum défini par la méthodologie a été atteint. Il est important de noter que le Cadre n'a pas été conçu pour être sensible au genre, et qu'il n'inclut pas d'autres éléments qui sont cruciaux pour garantir une tenure équitable, efficace et sûre. Il n'implique donc pas que les conditions juridiques, institutionnelles, politiques ou financières du pays sont optimales, ni que toutes les lois, politiques, objectifs ou autres engagements contraignants ou non contraignants nationaux ou internationaux sont respectés ou mis en œuvre de manière complète et détaillée.</w:t>
      </w:r>
    </w:p>
    <w:p w14:paraId="21FAA1BC" w14:textId="77777777" w:rsidR="00F21596" w:rsidRPr="00F21596" w:rsidRDefault="00F21596" w:rsidP="00F21596">
      <w:pPr>
        <w:jc w:val="both"/>
      </w:pPr>
    </w:p>
    <w:p w14:paraId="52DA71ED" w14:textId="27E8A585" w:rsidR="00275ED9" w:rsidRPr="00997E72" w:rsidRDefault="00F21596" w:rsidP="00DA002E">
      <w:pPr>
        <w:pStyle w:val="Heading3"/>
      </w:pPr>
      <w:bookmarkStart w:id="8" w:name="_Toc89533346"/>
      <w:bookmarkStart w:id="9" w:name="_Toc103688936"/>
      <w:r w:rsidRPr="00F039F7">
        <w:rPr>
          <w:rFonts w:eastAsia="Open Sans"/>
          <w:bCs/>
          <w:szCs w:val="20"/>
          <w:lang w:val="fr-FR"/>
        </w:rPr>
        <w:t xml:space="preserve">Tableau 1. Méthodologie actualisée du </w:t>
      </w:r>
      <w:r>
        <w:rPr>
          <w:rFonts w:eastAsia="Open Sans"/>
          <w:bCs/>
          <w:szCs w:val="20"/>
          <w:lang w:val="fr-FR"/>
        </w:rPr>
        <w:t>C</w:t>
      </w:r>
      <w:r w:rsidRPr="00F039F7">
        <w:rPr>
          <w:rFonts w:eastAsia="Open Sans"/>
          <w:bCs/>
          <w:szCs w:val="20"/>
          <w:lang w:val="fr-FR"/>
        </w:rPr>
        <w:t>adre de travail sur les opportunités</w:t>
      </w:r>
      <w:bookmarkEnd w:id="8"/>
      <w:bookmarkEnd w:id="9"/>
    </w:p>
    <w:tbl>
      <w:tblPr>
        <w:tblStyle w:val="RRI"/>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tblCellMar>
        <w:tblLook w:val="04A0" w:firstRow="1" w:lastRow="0" w:firstColumn="1" w:lastColumn="0" w:noHBand="0" w:noVBand="1"/>
      </w:tblPr>
      <w:tblGrid>
        <w:gridCol w:w="625"/>
        <w:gridCol w:w="8725"/>
      </w:tblGrid>
      <w:tr w:rsidR="007F085D" w:rsidRPr="00D402E5" w14:paraId="79F31884" w14:textId="77777777" w:rsidTr="00201CB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D09BBA" w14:textId="21274EBC" w:rsidR="007F085D" w:rsidRPr="00D402E5" w:rsidRDefault="00F21596" w:rsidP="0020446A">
            <w:pPr>
              <w:shd w:val="clear" w:color="auto" w:fill="auto"/>
              <w:spacing w:before="0" w:after="0"/>
              <w:rPr>
                <w:color w:val="FFFFFF" w:themeColor="background1"/>
                <w:sz w:val="18"/>
                <w:szCs w:val="18"/>
              </w:rPr>
            </w:pPr>
            <w:r w:rsidRPr="00F039F7">
              <w:rPr>
                <w:rFonts w:eastAsia="Open Sans"/>
                <w:color w:val="FFFFFF"/>
                <w:sz w:val="18"/>
                <w:szCs w:val="18"/>
                <w:lang w:val="fr-FR"/>
              </w:rPr>
              <w:t>Cadre juridique</w:t>
            </w:r>
          </w:p>
        </w:tc>
      </w:tr>
      <w:tr w:rsidR="00A52478" w:rsidRPr="00D402E5" w14:paraId="3623A931" w14:textId="77777777" w:rsidTr="00201C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0" w:type="dxa"/>
            <w:gridSpan w:val="2"/>
          </w:tcPr>
          <w:p w14:paraId="73559AE1" w14:textId="61C6A166" w:rsidR="00201CB9" w:rsidRPr="00D402E5" w:rsidRDefault="00F21596" w:rsidP="00A52478">
            <w:pPr>
              <w:shd w:val="clear" w:color="auto" w:fill="auto"/>
              <w:spacing w:before="0" w:after="0"/>
              <w:jc w:val="both"/>
              <w:rPr>
                <w:sz w:val="18"/>
                <w:szCs w:val="18"/>
              </w:rPr>
            </w:pPr>
            <w:r>
              <w:rPr>
                <w:rFonts w:eastAsia="Open Sans"/>
                <w:sz w:val="18"/>
                <w:szCs w:val="18"/>
                <w:lang w:val="fr-FR"/>
              </w:rPr>
              <w:t>Système de n</w:t>
            </w:r>
            <w:r w:rsidRPr="00F039F7">
              <w:rPr>
                <w:rFonts w:eastAsia="Open Sans"/>
                <w:sz w:val="18"/>
                <w:szCs w:val="18"/>
                <w:lang w:val="fr-FR"/>
              </w:rPr>
              <w:t xml:space="preserve">otation : </w:t>
            </w:r>
            <w:r w:rsidRPr="00F039F7">
              <w:rPr>
                <w:rFonts w:eastAsia="Open Sans"/>
                <w:b w:val="0"/>
                <w:bCs w:val="0"/>
                <w:sz w:val="18"/>
                <w:szCs w:val="18"/>
                <w:lang w:val="fr-FR"/>
              </w:rPr>
              <w:t>L'adéquation des cadres juridiques nationaux est évaluée sur la base de valeurs seuils minimales dérivées de la typologie statutaire de RRI. Un ensemble limité de circonstances dans le contexte national (par exemple, lorsque les décisions des tribunaux internationaux en faveur des droits fonciers communautaires n'ont pas encore été mises en œuvre par les gouvernements nationaux) peut entraîner une chute de la note d'un pays.</w:t>
            </w:r>
          </w:p>
        </w:tc>
      </w:tr>
      <w:tr w:rsidR="00275ED9" w:rsidRPr="00D402E5" w14:paraId="6C921D2B" w14:textId="77777777" w:rsidTr="00201CB9">
        <w:trPr>
          <w:trHeight w:val="287"/>
        </w:trPr>
        <w:tc>
          <w:tcPr>
            <w:cnfStyle w:val="001000000000" w:firstRow="0" w:lastRow="0" w:firstColumn="1" w:lastColumn="0" w:oddVBand="0" w:evenVBand="0" w:oddHBand="0" w:evenHBand="0" w:firstRowFirstColumn="0" w:firstRowLastColumn="0" w:lastRowFirstColumn="0" w:lastRowLastColumn="0"/>
            <w:tcW w:w="625" w:type="dxa"/>
          </w:tcPr>
          <w:p w14:paraId="111E9598" w14:textId="6CCD00D5" w:rsidR="00275ED9" w:rsidRPr="00D402E5" w:rsidRDefault="00275ED9" w:rsidP="0020446A">
            <w:pPr>
              <w:shd w:val="clear" w:color="auto" w:fill="auto"/>
              <w:spacing w:before="0" w:after="0"/>
              <w:rPr>
                <w:sz w:val="18"/>
                <w:szCs w:val="18"/>
              </w:rPr>
            </w:pPr>
          </w:p>
        </w:tc>
        <w:tc>
          <w:tcPr>
            <w:tcW w:w="8725" w:type="dxa"/>
          </w:tcPr>
          <w:p w14:paraId="1225EAF4" w14:textId="3933E712" w:rsidR="00A52478" w:rsidRPr="00D402E5" w:rsidRDefault="00F21596" w:rsidP="00201CB9">
            <w:pPr>
              <w:pStyle w:val="ListParagraph"/>
              <w:numPr>
                <w:ilvl w:val="0"/>
                <w:numId w:val="5"/>
              </w:numPr>
              <w:shd w:val="clear" w:color="auto" w:fill="auto"/>
              <w:snapToGrid w:val="0"/>
              <w:spacing w:before="0" w:after="120"/>
              <w:contextualSpacing w:val="0"/>
              <w:jc w:val="both"/>
              <w:cnfStyle w:val="000000000000" w:firstRow="0" w:lastRow="0" w:firstColumn="0" w:lastColumn="0" w:oddVBand="0" w:evenVBand="0" w:oddHBand="0" w:evenHBand="0" w:firstRowFirstColumn="0" w:firstRowLastColumn="0" w:lastRowFirstColumn="0" w:lastRowLastColumn="0"/>
              <w:rPr>
                <w:sz w:val="18"/>
                <w:szCs w:val="18"/>
              </w:rPr>
            </w:pPr>
            <w:r>
              <w:rPr>
                <w:rFonts w:eastAsia="Open Sans"/>
                <w:b/>
                <w:bCs/>
                <w:sz w:val="18"/>
                <w:szCs w:val="18"/>
                <w:lang w:val="fr-FR"/>
              </w:rPr>
              <w:t>Convenable</w:t>
            </w:r>
            <w:r w:rsidRPr="00F039F7">
              <w:rPr>
                <w:rFonts w:eastAsia="Open Sans"/>
                <w:b/>
                <w:bCs/>
                <w:sz w:val="18"/>
                <w:szCs w:val="18"/>
                <w:lang w:val="fr-FR"/>
              </w:rPr>
              <w:t xml:space="preserve"> (5 points) :</w:t>
            </w:r>
            <w:r w:rsidRPr="00F039F7">
              <w:rPr>
                <w:rFonts w:eastAsia="Open Sans"/>
                <w:sz w:val="18"/>
                <w:szCs w:val="18"/>
                <w:lang w:val="fr-FR"/>
              </w:rPr>
              <w:t xml:space="preserve"> Un pays possède au moins un RFC classé comme appartenant </w:t>
            </w:r>
            <w:r>
              <w:rPr>
                <w:rFonts w:eastAsia="Open Sans"/>
                <w:sz w:val="18"/>
                <w:szCs w:val="18"/>
                <w:lang w:val="fr-FR"/>
              </w:rPr>
              <w:t xml:space="preserve">aux </w:t>
            </w:r>
            <w:r w:rsidRPr="00F039F7">
              <w:rPr>
                <w:rFonts w:eastAsia="Open Sans"/>
                <w:sz w:val="18"/>
                <w:szCs w:val="18"/>
                <w:lang w:val="fr-FR"/>
              </w:rPr>
              <w:t xml:space="preserve">peuples autochtones, </w:t>
            </w:r>
            <w:r>
              <w:rPr>
                <w:rFonts w:eastAsia="Open Sans"/>
                <w:sz w:val="18"/>
                <w:szCs w:val="18"/>
                <w:lang w:val="fr-FR"/>
              </w:rPr>
              <w:t>aux</w:t>
            </w:r>
            <w:r w:rsidRPr="00F039F7">
              <w:rPr>
                <w:rFonts w:eastAsia="Open Sans"/>
                <w:sz w:val="18"/>
                <w:szCs w:val="18"/>
                <w:lang w:val="fr-FR"/>
              </w:rPr>
              <w:t xml:space="preserve"> peuples </w:t>
            </w:r>
            <w:r>
              <w:rPr>
                <w:rFonts w:eastAsia="Open Sans"/>
                <w:sz w:val="18"/>
                <w:szCs w:val="18"/>
                <w:lang w:val="fr-FR"/>
              </w:rPr>
              <w:t>afro-descendants</w:t>
            </w:r>
            <w:r w:rsidRPr="00F039F7">
              <w:rPr>
                <w:rFonts w:eastAsia="Open Sans"/>
                <w:sz w:val="18"/>
                <w:szCs w:val="18"/>
                <w:lang w:val="fr-FR"/>
              </w:rPr>
              <w:t xml:space="preserve"> et/ou </w:t>
            </w:r>
            <w:r>
              <w:rPr>
                <w:rFonts w:eastAsia="Open Sans"/>
                <w:sz w:val="18"/>
                <w:szCs w:val="18"/>
                <w:lang w:val="fr-FR"/>
              </w:rPr>
              <w:t>aux</w:t>
            </w:r>
            <w:r w:rsidRPr="00F039F7">
              <w:rPr>
                <w:rFonts w:eastAsia="Open Sans"/>
                <w:sz w:val="18"/>
                <w:szCs w:val="18"/>
                <w:lang w:val="fr-FR"/>
              </w:rPr>
              <w:t xml:space="preserve"> communautés locales selon la typologie statutaire de RRI. Des RFC supplémentaires peuvent exister ou non.</w:t>
            </w:r>
          </w:p>
          <w:p w14:paraId="5A961FE9" w14:textId="54988521" w:rsidR="00A52478" w:rsidRPr="00D402E5" w:rsidRDefault="00F21596" w:rsidP="00201CB9">
            <w:pPr>
              <w:pStyle w:val="ListParagraph"/>
              <w:numPr>
                <w:ilvl w:val="0"/>
                <w:numId w:val="5"/>
              </w:numPr>
              <w:shd w:val="clear" w:color="auto" w:fill="auto"/>
              <w:snapToGrid w:val="0"/>
              <w:spacing w:before="0" w:after="120"/>
              <w:contextualSpacing w:val="0"/>
              <w:jc w:val="both"/>
              <w:cnfStyle w:val="000000000000" w:firstRow="0" w:lastRow="0" w:firstColumn="0" w:lastColumn="0" w:oddVBand="0" w:evenVBand="0" w:oddHBand="0" w:evenHBand="0" w:firstRowFirstColumn="0" w:firstRowLastColumn="0" w:lastRowFirstColumn="0" w:lastRowLastColumn="0"/>
              <w:rPr>
                <w:sz w:val="18"/>
                <w:szCs w:val="18"/>
              </w:rPr>
            </w:pPr>
            <w:r>
              <w:rPr>
                <w:rFonts w:eastAsia="Open Sans"/>
                <w:b/>
                <w:bCs/>
                <w:sz w:val="18"/>
                <w:szCs w:val="18"/>
                <w:lang w:val="fr-FR"/>
              </w:rPr>
              <w:t>Plutôt convenable</w:t>
            </w:r>
            <w:r w:rsidRPr="00F039F7">
              <w:rPr>
                <w:rFonts w:eastAsia="Open Sans"/>
                <w:b/>
                <w:bCs/>
                <w:sz w:val="18"/>
                <w:szCs w:val="18"/>
                <w:lang w:val="fr-FR"/>
              </w:rPr>
              <w:t xml:space="preserve"> (3 points) :</w:t>
            </w:r>
            <w:r w:rsidRPr="00F039F7">
              <w:rPr>
                <w:rFonts w:eastAsia="Open Sans"/>
                <w:sz w:val="18"/>
                <w:szCs w:val="18"/>
                <w:lang w:val="fr-FR"/>
              </w:rPr>
              <w:t xml:space="preserve"> Un pays possède au moins 1 RFC classé comme Désigné pour les peuples autochtones, les peuples </w:t>
            </w:r>
            <w:r>
              <w:rPr>
                <w:rFonts w:eastAsia="Open Sans"/>
                <w:sz w:val="18"/>
                <w:szCs w:val="18"/>
                <w:lang w:val="fr-FR"/>
              </w:rPr>
              <w:t>afro-descendants</w:t>
            </w:r>
            <w:r w:rsidRPr="00F039F7">
              <w:rPr>
                <w:rFonts w:eastAsia="Open Sans"/>
                <w:sz w:val="18"/>
                <w:szCs w:val="18"/>
                <w:lang w:val="fr-FR"/>
              </w:rPr>
              <w:t xml:space="preserve"> et/ou les communautés locales selon la typologie statutaire de RRI, mais aucun RFC n'est classé comme Détenus par les peuples autochtones, les peuples </w:t>
            </w:r>
            <w:r>
              <w:rPr>
                <w:rFonts w:eastAsia="Open Sans"/>
                <w:sz w:val="18"/>
                <w:szCs w:val="18"/>
                <w:lang w:val="fr-FR"/>
              </w:rPr>
              <w:t>afro-descendants</w:t>
            </w:r>
            <w:r w:rsidRPr="00F039F7">
              <w:rPr>
                <w:rFonts w:eastAsia="Open Sans"/>
                <w:sz w:val="18"/>
                <w:szCs w:val="18"/>
                <w:lang w:val="fr-FR"/>
              </w:rPr>
              <w:t xml:space="preserve"> et/ou les communautés locales.</w:t>
            </w:r>
          </w:p>
          <w:p w14:paraId="5D5DA50F" w14:textId="70643941" w:rsidR="00275ED9" w:rsidRPr="00D402E5" w:rsidRDefault="00F21596" w:rsidP="00201CB9">
            <w:pPr>
              <w:pStyle w:val="ListParagraph"/>
              <w:numPr>
                <w:ilvl w:val="0"/>
                <w:numId w:val="5"/>
              </w:numPr>
              <w:shd w:val="clear" w:color="auto" w:fill="auto"/>
              <w:snapToGrid w:val="0"/>
              <w:spacing w:before="0" w:after="120"/>
              <w:contextualSpacing w:val="0"/>
              <w:jc w:val="both"/>
              <w:cnfStyle w:val="000000000000" w:firstRow="0" w:lastRow="0" w:firstColumn="0" w:lastColumn="0" w:oddVBand="0" w:evenVBand="0" w:oddHBand="0" w:evenHBand="0" w:firstRowFirstColumn="0" w:firstRowLastColumn="0" w:lastRowFirstColumn="0" w:lastRowLastColumn="0"/>
              <w:rPr>
                <w:sz w:val="18"/>
                <w:szCs w:val="18"/>
              </w:rPr>
            </w:pPr>
            <w:r w:rsidRPr="00F039F7">
              <w:rPr>
                <w:rFonts w:eastAsia="Open Sans"/>
                <w:b/>
                <w:bCs/>
                <w:sz w:val="18"/>
                <w:szCs w:val="18"/>
                <w:lang w:val="fr-FR"/>
              </w:rPr>
              <w:t>In</w:t>
            </w:r>
            <w:r>
              <w:rPr>
                <w:rFonts w:eastAsia="Open Sans"/>
                <w:b/>
                <w:bCs/>
                <w:sz w:val="18"/>
                <w:szCs w:val="18"/>
                <w:lang w:val="fr-FR"/>
              </w:rPr>
              <w:t>suffisant</w:t>
            </w:r>
            <w:r w:rsidRPr="00F039F7">
              <w:rPr>
                <w:rFonts w:eastAsia="Open Sans"/>
                <w:b/>
                <w:bCs/>
                <w:sz w:val="18"/>
                <w:szCs w:val="18"/>
                <w:lang w:val="fr-FR"/>
              </w:rPr>
              <w:t xml:space="preserve"> (0 points) :</w:t>
            </w:r>
            <w:r w:rsidRPr="00F039F7">
              <w:rPr>
                <w:rFonts w:eastAsia="Open Sans"/>
                <w:sz w:val="18"/>
                <w:szCs w:val="18"/>
                <w:lang w:val="fr-FR"/>
              </w:rPr>
              <w:t xml:space="preserve"> Un pays n'a que des RFC classés comme administrés par le gouvernement selon la typologie statutaire de RRI, ou qu’il n'y a pas de RFC.</w:t>
            </w:r>
          </w:p>
        </w:tc>
      </w:tr>
      <w:tr w:rsidR="00A52478" w:rsidRPr="00D402E5" w14:paraId="235C5668" w14:textId="77777777" w:rsidTr="00201C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415A68"/>
          </w:tcPr>
          <w:p w14:paraId="51AE360C" w14:textId="4C8DCCFF" w:rsidR="00A52478" w:rsidRPr="00D402E5" w:rsidRDefault="00B10B8C" w:rsidP="00803FA9">
            <w:pPr>
              <w:shd w:val="clear" w:color="auto" w:fill="auto"/>
              <w:spacing w:before="0" w:after="0"/>
              <w:rPr>
                <w:color w:val="FFFFFF" w:themeColor="background1"/>
                <w:sz w:val="18"/>
                <w:szCs w:val="18"/>
              </w:rPr>
            </w:pPr>
            <w:r w:rsidRPr="00F039F7">
              <w:rPr>
                <w:rFonts w:eastAsia="Open Sans"/>
                <w:color w:val="FFFFFF"/>
                <w:sz w:val="18"/>
                <w:szCs w:val="18"/>
                <w:lang w:val="fr-FR"/>
              </w:rPr>
              <w:lastRenderedPageBreak/>
              <w:t>Volonté du gouvernement national et infranational</w:t>
            </w:r>
          </w:p>
        </w:tc>
      </w:tr>
      <w:tr w:rsidR="009E4FB6" w:rsidRPr="00D402E5" w14:paraId="45834359" w14:textId="77777777" w:rsidTr="00201CB9">
        <w:trPr>
          <w:trHeight w:val="28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CE6ED"/>
          </w:tcPr>
          <w:p w14:paraId="34219567" w14:textId="6F6B52C0" w:rsidR="009E4FB6" w:rsidRPr="00D402E5" w:rsidRDefault="00B10B8C" w:rsidP="00201CB9">
            <w:pPr>
              <w:shd w:val="clear" w:color="auto" w:fill="DCE6ED"/>
              <w:spacing w:before="0" w:after="0"/>
              <w:jc w:val="both"/>
              <w:rPr>
                <w:b w:val="0"/>
                <w:bCs w:val="0"/>
                <w:sz w:val="18"/>
                <w:szCs w:val="18"/>
              </w:rPr>
            </w:pPr>
            <w:r w:rsidRPr="00F039F7">
              <w:rPr>
                <w:rFonts w:eastAsia="Open Sans"/>
                <w:sz w:val="18"/>
                <w:szCs w:val="18"/>
                <w:lang w:val="fr-FR"/>
              </w:rPr>
              <w:t xml:space="preserve">Système de notation : </w:t>
            </w:r>
            <w:r w:rsidRPr="00F039F7">
              <w:rPr>
                <w:rFonts w:eastAsia="Open Sans"/>
                <w:b w:val="0"/>
                <w:bCs w:val="0"/>
                <w:sz w:val="18"/>
                <w:szCs w:val="18"/>
                <w:lang w:val="fr-FR"/>
              </w:rPr>
              <w:t xml:space="preserve">Pour évaluer la volonté des gouvernements nationaux et/ou infranationaux de faire progresser les droits fonciers communautaires, le </w:t>
            </w:r>
            <w:r>
              <w:rPr>
                <w:rFonts w:eastAsia="Open Sans"/>
                <w:b w:val="0"/>
                <w:bCs w:val="0"/>
                <w:sz w:val="18"/>
                <w:szCs w:val="18"/>
                <w:lang w:val="fr-FR"/>
              </w:rPr>
              <w:t>C</w:t>
            </w:r>
            <w:r w:rsidRPr="00F039F7">
              <w:rPr>
                <w:rFonts w:eastAsia="Open Sans"/>
                <w:b w:val="0"/>
                <w:bCs w:val="0"/>
                <w:sz w:val="18"/>
                <w:szCs w:val="18"/>
                <w:lang w:val="fr-FR"/>
              </w:rPr>
              <w:t>adre de travail sur les opportunités s'appuie sur un ensemble non exhaustif d'indicateurs qualitatifs :</w:t>
            </w:r>
          </w:p>
          <w:p w14:paraId="3B0D3F4C" w14:textId="676FDD51" w:rsidR="009E4FB6" w:rsidRPr="00D402E5" w:rsidRDefault="00B10B8C" w:rsidP="00201CB9">
            <w:pPr>
              <w:pStyle w:val="ListParagraph"/>
              <w:numPr>
                <w:ilvl w:val="0"/>
                <w:numId w:val="6"/>
              </w:numPr>
              <w:shd w:val="clear" w:color="auto" w:fill="auto"/>
              <w:spacing w:before="0" w:after="0"/>
              <w:jc w:val="both"/>
              <w:rPr>
                <w:b w:val="0"/>
                <w:bCs w:val="0"/>
                <w:sz w:val="18"/>
                <w:szCs w:val="18"/>
              </w:rPr>
            </w:pPr>
            <w:r w:rsidRPr="00F039F7">
              <w:rPr>
                <w:rFonts w:eastAsia="Open Sans"/>
                <w:b w:val="0"/>
                <w:bCs w:val="0"/>
                <w:sz w:val="18"/>
                <w:szCs w:val="18"/>
                <w:lang w:val="fr-FR"/>
              </w:rPr>
              <w:t>Lorsque les gouvernements nationaux et infranationaux jouent un rôle dans la reconnaissance légale et/ou la mise en œuvre des droits fonciers communautaires, ils sont évalués et notés séparément. Dans ces circonstances, une évaluation « </w:t>
            </w:r>
            <w:r>
              <w:rPr>
                <w:rFonts w:eastAsia="Open Sans"/>
                <w:b w:val="0"/>
                <w:bCs w:val="0"/>
                <w:sz w:val="18"/>
                <w:szCs w:val="18"/>
                <w:lang w:val="fr-FR"/>
              </w:rPr>
              <w:t>convenable</w:t>
            </w:r>
            <w:r w:rsidRPr="00F039F7">
              <w:rPr>
                <w:rFonts w:eastAsia="Open Sans"/>
                <w:b w:val="0"/>
                <w:bCs w:val="0"/>
                <w:sz w:val="18"/>
                <w:szCs w:val="18"/>
                <w:lang w:val="fr-FR"/>
              </w:rPr>
              <w:t> » au niveau national reçoit 4 points et au niveau infranational 2 points ; une évaluation « </w:t>
            </w:r>
            <w:r>
              <w:rPr>
                <w:rFonts w:eastAsia="Open Sans"/>
                <w:b w:val="0"/>
                <w:bCs w:val="0"/>
                <w:sz w:val="18"/>
                <w:szCs w:val="18"/>
                <w:lang w:val="fr-FR"/>
              </w:rPr>
              <w:t>plutôt convenable</w:t>
            </w:r>
            <w:r w:rsidRPr="00F039F7">
              <w:rPr>
                <w:rFonts w:eastAsia="Open Sans"/>
                <w:b w:val="0"/>
                <w:bCs w:val="0"/>
                <w:sz w:val="18"/>
                <w:szCs w:val="18"/>
                <w:lang w:val="fr-FR"/>
              </w:rPr>
              <w:t> » au niveau national reçoit 2 points et au niveau infranational 1 point ; et une évaluation « in</w:t>
            </w:r>
            <w:r>
              <w:rPr>
                <w:rFonts w:eastAsia="Open Sans"/>
                <w:b w:val="0"/>
                <w:bCs w:val="0"/>
                <w:sz w:val="18"/>
                <w:szCs w:val="18"/>
                <w:lang w:val="fr-FR"/>
              </w:rPr>
              <w:t>suffisant</w:t>
            </w:r>
            <w:r w:rsidRPr="00F039F7">
              <w:rPr>
                <w:rFonts w:eastAsia="Open Sans"/>
                <w:b w:val="0"/>
                <w:bCs w:val="0"/>
                <w:sz w:val="18"/>
                <w:szCs w:val="18"/>
                <w:lang w:val="fr-FR"/>
              </w:rPr>
              <w:t> » reçoit 0 point.</w:t>
            </w:r>
          </w:p>
          <w:p w14:paraId="07E77967" w14:textId="50A85A22" w:rsidR="009E4FB6" w:rsidRPr="00201CB9" w:rsidRDefault="00B10B8C" w:rsidP="00201CB9">
            <w:pPr>
              <w:pStyle w:val="ListParagraph"/>
              <w:numPr>
                <w:ilvl w:val="0"/>
                <w:numId w:val="6"/>
              </w:numPr>
              <w:shd w:val="clear" w:color="auto" w:fill="auto"/>
              <w:spacing w:before="0" w:after="0"/>
              <w:jc w:val="both"/>
              <w:rPr>
                <w:b w:val="0"/>
                <w:bCs w:val="0"/>
                <w:sz w:val="18"/>
                <w:szCs w:val="18"/>
              </w:rPr>
            </w:pPr>
            <w:r w:rsidRPr="00F039F7">
              <w:rPr>
                <w:rFonts w:eastAsia="Open Sans"/>
                <w:b w:val="0"/>
                <w:bCs w:val="0"/>
                <w:sz w:val="18"/>
                <w:szCs w:val="18"/>
                <w:lang w:val="fr-FR"/>
              </w:rPr>
              <w:t>Lorsque les gouvernements infranationaux ne jouent pas de rôle dans la reconnaissance légale et/ou la mise en œuvre des droits fonciers communautaires, une évaluation « </w:t>
            </w:r>
            <w:r>
              <w:rPr>
                <w:rFonts w:eastAsia="Open Sans"/>
                <w:b w:val="0"/>
                <w:bCs w:val="0"/>
                <w:sz w:val="18"/>
                <w:szCs w:val="18"/>
                <w:lang w:val="fr-FR"/>
              </w:rPr>
              <w:t>convenable</w:t>
            </w:r>
            <w:r w:rsidRPr="00F039F7">
              <w:rPr>
                <w:rFonts w:eastAsia="Open Sans"/>
                <w:b w:val="0"/>
                <w:bCs w:val="0"/>
                <w:sz w:val="18"/>
                <w:szCs w:val="18"/>
                <w:lang w:val="fr-FR"/>
              </w:rPr>
              <w:t> » reçoit 6 points, une évaluation « </w:t>
            </w:r>
            <w:r>
              <w:rPr>
                <w:rFonts w:eastAsia="Open Sans"/>
                <w:b w:val="0"/>
                <w:bCs w:val="0"/>
                <w:sz w:val="18"/>
                <w:szCs w:val="18"/>
                <w:lang w:val="fr-FR"/>
              </w:rPr>
              <w:t>plutôt convenable</w:t>
            </w:r>
            <w:r w:rsidRPr="00F039F7">
              <w:rPr>
                <w:rFonts w:eastAsia="Open Sans"/>
                <w:b w:val="0"/>
                <w:bCs w:val="0"/>
                <w:sz w:val="18"/>
                <w:szCs w:val="18"/>
                <w:lang w:val="fr-FR"/>
              </w:rPr>
              <w:t> » 3 points, et une évaluation « </w:t>
            </w:r>
            <w:r>
              <w:rPr>
                <w:rFonts w:eastAsia="Open Sans"/>
                <w:b w:val="0"/>
                <w:bCs w:val="0"/>
                <w:sz w:val="18"/>
                <w:szCs w:val="18"/>
                <w:lang w:val="fr-FR"/>
              </w:rPr>
              <w:t>insuffisant</w:t>
            </w:r>
            <w:r w:rsidRPr="00F039F7">
              <w:rPr>
                <w:rFonts w:eastAsia="Open Sans"/>
                <w:b w:val="0"/>
                <w:bCs w:val="0"/>
                <w:sz w:val="18"/>
                <w:szCs w:val="18"/>
                <w:lang w:val="fr-FR"/>
              </w:rPr>
              <w:t> » 0 point.</w:t>
            </w:r>
          </w:p>
          <w:p w14:paraId="286BAAC6" w14:textId="0C99EB60" w:rsidR="00201CB9" w:rsidRPr="00D402E5" w:rsidRDefault="00201CB9" w:rsidP="00201CB9">
            <w:pPr>
              <w:pStyle w:val="ListParagraph"/>
              <w:shd w:val="clear" w:color="auto" w:fill="auto"/>
              <w:spacing w:before="0" w:after="0"/>
              <w:jc w:val="both"/>
              <w:rPr>
                <w:b w:val="0"/>
                <w:bCs w:val="0"/>
                <w:sz w:val="18"/>
                <w:szCs w:val="18"/>
              </w:rPr>
            </w:pPr>
          </w:p>
        </w:tc>
      </w:tr>
      <w:tr w:rsidR="00A52478" w:rsidRPr="00D402E5" w14:paraId="3DEEA6E7" w14:textId="77777777" w:rsidTr="00201CB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25" w:type="dxa"/>
            <w:shd w:val="clear" w:color="auto" w:fill="FFFFFF" w:themeFill="background1"/>
          </w:tcPr>
          <w:p w14:paraId="57BB89DE" w14:textId="77777777" w:rsidR="00A52478" w:rsidRPr="00D402E5" w:rsidRDefault="00A52478" w:rsidP="0020446A">
            <w:pPr>
              <w:shd w:val="clear" w:color="auto" w:fill="auto"/>
              <w:spacing w:before="0" w:after="0"/>
              <w:rPr>
                <w:sz w:val="18"/>
                <w:szCs w:val="18"/>
              </w:rPr>
            </w:pPr>
          </w:p>
        </w:tc>
        <w:tc>
          <w:tcPr>
            <w:tcW w:w="8725" w:type="dxa"/>
            <w:shd w:val="clear" w:color="auto" w:fill="FFFFFF" w:themeFill="background1"/>
          </w:tcPr>
          <w:p w14:paraId="7578417F" w14:textId="42541987" w:rsidR="009E4FB6" w:rsidRPr="00201CB9" w:rsidRDefault="00B10B8C" w:rsidP="00803FA9">
            <w:pPr>
              <w:shd w:val="clear" w:color="auto" w:fill="auto"/>
              <w:snapToGrid w:val="0"/>
              <w:spacing w:before="0" w:after="120"/>
              <w:jc w:val="both"/>
              <w:cnfStyle w:val="000000100000" w:firstRow="0" w:lastRow="0" w:firstColumn="0" w:lastColumn="0" w:oddVBand="0" w:evenVBand="0" w:oddHBand="1" w:evenHBand="0" w:firstRowFirstColumn="0" w:firstRowLastColumn="0" w:lastRowFirstColumn="0" w:lastRowLastColumn="0"/>
              <w:rPr>
                <w:i/>
                <w:iCs/>
                <w:color w:val="44546A" w:themeColor="text2"/>
                <w:sz w:val="18"/>
                <w:szCs w:val="18"/>
              </w:rPr>
            </w:pPr>
            <w:r w:rsidRPr="00F039F7">
              <w:rPr>
                <w:rFonts w:eastAsia="Open Sans"/>
                <w:b/>
                <w:bCs/>
                <w:i/>
                <w:iCs/>
                <w:color w:val="44546A"/>
                <w:sz w:val="18"/>
                <w:szCs w:val="18"/>
                <w:lang w:val="fr-FR"/>
              </w:rPr>
              <w:t>Volonté du gouvernement national</w:t>
            </w:r>
          </w:p>
          <w:p w14:paraId="50A4F000" w14:textId="0F50A4F5" w:rsidR="00A52478" w:rsidRPr="00D402E5" w:rsidRDefault="00B10B8C" w:rsidP="00201CB9">
            <w:pPr>
              <w:pStyle w:val="ListParagraph"/>
              <w:numPr>
                <w:ilvl w:val="0"/>
                <w:numId w:val="5"/>
              </w:numPr>
              <w:shd w:val="clear" w:color="auto" w:fill="auto"/>
              <w:snapToGrid w:val="0"/>
              <w:spacing w:before="0" w:after="0"/>
              <w:contextualSpacing w:val="0"/>
              <w:jc w:val="both"/>
              <w:cnfStyle w:val="000000100000" w:firstRow="0" w:lastRow="0" w:firstColumn="0" w:lastColumn="0" w:oddVBand="0" w:evenVBand="0" w:oddHBand="1" w:evenHBand="0" w:firstRowFirstColumn="0" w:firstRowLastColumn="0" w:lastRowFirstColumn="0" w:lastRowLastColumn="0"/>
              <w:rPr>
                <w:sz w:val="18"/>
                <w:szCs w:val="18"/>
              </w:rPr>
            </w:pPr>
            <w:r>
              <w:rPr>
                <w:rFonts w:eastAsia="Open Sans"/>
                <w:b/>
                <w:bCs/>
                <w:sz w:val="18"/>
                <w:szCs w:val="18"/>
                <w:lang w:val="fr-FR"/>
              </w:rPr>
              <w:t>Convenable</w:t>
            </w:r>
            <w:r w:rsidRPr="00F039F7">
              <w:rPr>
                <w:rFonts w:eastAsia="Open Sans"/>
                <w:sz w:val="18"/>
                <w:szCs w:val="18"/>
                <w:lang w:val="fr-FR"/>
              </w:rPr>
              <w:t xml:space="preserve"> (4 ou 6 points - voir ci-dessus) : Le gouvernement national a démontré son engagement à faire progresser les droits par deux ou plusieurs des éléments suivants :</w:t>
            </w:r>
          </w:p>
          <w:p w14:paraId="7FA8B41E" w14:textId="7B9CC9E5" w:rsidR="00A05624" w:rsidRPr="00D402E5" w:rsidRDefault="00B10B8C"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Soutien politique (gouvernement) et/ou administratif (départements, ministères) documenté pour les droits fonciers communautaires (par exemple : déclarations politiques ou prioritaires écrites, décrets, plans nationaux ou autres formes de reconnaissance publique)</w:t>
            </w:r>
          </w:p>
          <w:p w14:paraId="0612E80D" w14:textId="2DAFF985" w:rsidR="00A05624" w:rsidRPr="00D402E5" w:rsidRDefault="00B10B8C"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Élaborer, adopter ou maintenir des réformes législatives, des cadres réglementaires ou des directives de mise en œuvre favorables</w:t>
            </w:r>
          </w:p>
          <w:p w14:paraId="6F7B3C1D" w14:textId="4FD488CA" w:rsidR="00A05624" w:rsidRPr="00D402E5" w:rsidRDefault="00B10B8C" w:rsidP="00201CB9">
            <w:pPr>
              <w:pStyle w:val="ListParagraph"/>
              <w:numPr>
                <w:ilvl w:val="1"/>
                <w:numId w:val="5"/>
              </w:numPr>
              <w:shd w:val="clear" w:color="auto" w:fill="auto"/>
              <w:snapToGrid w:val="0"/>
              <w:spacing w:before="0" w:after="0"/>
              <w:contextualSpacing w:val="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Actions ciblées menées par les agences gouvernementales responsables pour faire progresser les droits fonciers communautaires (par exemple : mandat et budget clairs, coordination active avec les organisations communautaires responsables, investissements dédiés)</w:t>
            </w:r>
          </w:p>
          <w:p w14:paraId="72B50975" w14:textId="62655912" w:rsidR="00D45C32" w:rsidRPr="00D402E5" w:rsidRDefault="00B10B8C" w:rsidP="00201CB9">
            <w:pPr>
              <w:pStyle w:val="ListParagraph"/>
              <w:numPr>
                <w:ilvl w:val="0"/>
                <w:numId w:val="5"/>
              </w:numPr>
              <w:shd w:val="clear" w:color="auto" w:fill="auto"/>
              <w:snapToGrid w:val="0"/>
              <w:spacing w:before="0" w:after="0"/>
              <w:contextualSpacing w:val="0"/>
              <w:jc w:val="both"/>
              <w:cnfStyle w:val="000000100000" w:firstRow="0" w:lastRow="0" w:firstColumn="0" w:lastColumn="0" w:oddVBand="0" w:evenVBand="0" w:oddHBand="1" w:evenHBand="0" w:firstRowFirstColumn="0" w:firstRowLastColumn="0" w:lastRowFirstColumn="0" w:lastRowLastColumn="0"/>
              <w:rPr>
                <w:sz w:val="18"/>
                <w:szCs w:val="18"/>
              </w:rPr>
            </w:pPr>
            <w:r>
              <w:rPr>
                <w:rFonts w:eastAsia="Open Sans"/>
                <w:b/>
                <w:bCs/>
                <w:sz w:val="18"/>
                <w:szCs w:val="18"/>
                <w:lang w:val="fr-FR"/>
              </w:rPr>
              <w:t>Plutôt convenable</w:t>
            </w:r>
            <w:r w:rsidRPr="00F039F7">
              <w:rPr>
                <w:rFonts w:eastAsia="Open Sans"/>
                <w:sz w:val="18"/>
                <w:szCs w:val="18"/>
                <w:lang w:val="fr-FR"/>
              </w:rPr>
              <w:t xml:space="preserve"> (2 ou 3 points - voir ci-dessus) : Certains signes d'une volonté adéquate de la part du gouvernement national peuvent être présents, mais le soutien aux droits fonciers communautaires est entravé par un ou plusieurs des obstacles suivants :</w:t>
            </w:r>
          </w:p>
          <w:p w14:paraId="2638CBD6" w14:textId="7BD7F8E4" w:rsidR="00D45C32" w:rsidRPr="00D402E5" w:rsidRDefault="00B10B8C"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Mesures limitées ou négligeables prises pour combler les lacunes, mettre en œuvre les plans ou résoudre les goulets d'étranglement</w:t>
            </w:r>
          </w:p>
          <w:p w14:paraId="6BF08DCE" w14:textId="410AC0A8" w:rsidR="00D45C32" w:rsidRPr="00D402E5" w:rsidRDefault="00B10B8C" w:rsidP="00201CB9">
            <w:pPr>
              <w:pStyle w:val="ListParagraph"/>
              <w:numPr>
                <w:ilvl w:val="1"/>
                <w:numId w:val="5"/>
              </w:numPr>
              <w:shd w:val="clear" w:color="auto" w:fill="auto"/>
              <w:spacing w:before="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Existence de mandats institutionnels et de responsabilités concurrents</w:t>
            </w:r>
          </w:p>
          <w:p w14:paraId="68ADE4BC" w14:textId="7354E3AD" w:rsidR="00311B09" w:rsidRPr="00201CB9" w:rsidRDefault="00E70428" w:rsidP="00201CB9">
            <w:pPr>
              <w:pStyle w:val="ListParagraph"/>
              <w:numPr>
                <w:ilvl w:val="1"/>
                <w:numId w:val="5"/>
              </w:numPr>
              <w:shd w:val="clear" w:color="auto" w:fill="auto"/>
              <w:spacing w:before="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Confiance, coordination et engagement limités entre les autorités compétentes et les organisations autochtones ou de la société civile</w:t>
            </w:r>
          </w:p>
          <w:p w14:paraId="06A69BB5" w14:textId="79876A21" w:rsidR="00D45C32" w:rsidRPr="00D402E5" w:rsidRDefault="00E70428" w:rsidP="00201CB9">
            <w:pPr>
              <w:pStyle w:val="ListParagraph"/>
              <w:numPr>
                <w:ilvl w:val="0"/>
                <w:numId w:val="5"/>
              </w:numPr>
              <w:shd w:val="clear" w:color="auto" w:fill="auto"/>
              <w:snapToGrid w:val="0"/>
              <w:spacing w:after="0"/>
              <w:contextualSpacing w:val="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b/>
                <w:bCs/>
                <w:sz w:val="18"/>
                <w:szCs w:val="18"/>
                <w:lang w:val="fr-FR"/>
              </w:rPr>
              <w:t>In</w:t>
            </w:r>
            <w:r>
              <w:rPr>
                <w:rFonts w:eastAsia="Open Sans"/>
                <w:b/>
                <w:bCs/>
                <w:sz w:val="18"/>
                <w:szCs w:val="18"/>
                <w:lang w:val="fr-FR"/>
              </w:rPr>
              <w:t>suffisant</w:t>
            </w:r>
            <w:r w:rsidRPr="00F039F7">
              <w:rPr>
                <w:rFonts w:eastAsia="Open Sans"/>
                <w:b/>
                <w:bCs/>
                <w:sz w:val="18"/>
                <w:szCs w:val="18"/>
                <w:lang w:val="fr-FR"/>
              </w:rPr>
              <w:t xml:space="preserve"> </w:t>
            </w:r>
            <w:r w:rsidRPr="00A930C5">
              <w:rPr>
                <w:rFonts w:eastAsia="Open Sans"/>
                <w:sz w:val="18"/>
                <w:szCs w:val="18"/>
                <w:lang w:val="fr-FR"/>
              </w:rPr>
              <w:t>(0 point)</w:t>
            </w:r>
            <w:r w:rsidRPr="00F039F7">
              <w:rPr>
                <w:rFonts w:eastAsia="Open Sans"/>
                <w:b/>
                <w:bCs/>
                <w:sz w:val="18"/>
                <w:szCs w:val="18"/>
                <w:lang w:val="fr-FR"/>
              </w:rPr>
              <w:t xml:space="preserve"> :</w:t>
            </w:r>
            <w:r w:rsidRPr="00F039F7">
              <w:rPr>
                <w:rFonts w:eastAsia="Open Sans"/>
                <w:sz w:val="18"/>
                <w:szCs w:val="18"/>
                <w:lang w:val="fr-FR"/>
              </w:rPr>
              <w:t xml:space="preserve"> Le soutien aux droits fonciers communautaires est entravé par un ou plusieurs des éléments suivants :</w:t>
            </w:r>
          </w:p>
          <w:p w14:paraId="40B02E85" w14:textId="1997DB7F" w:rsidR="00D45C32" w:rsidRPr="00D402E5" w:rsidRDefault="00E70428"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 xml:space="preserve">Aucun soutien politique (gouvernement) et/ou administratif (départements, ministères) pour la reconnaissance légale des droits des peuples autochtones, des peuples </w:t>
            </w:r>
            <w:r>
              <w:rPr>
                <w:rFonts w:eastAsia="Open Sans"/>
                <w:sz w:val="18"/>
                <w:szCs w:val="18"/>
                <w:lang w:val="fr-FR"/>
              </w:rPr>
              <w:t>afro-descendants</w:t>
            </w:r>
            <w:r w:rsidRPr="00F039F7">
              <w:rPr>
                <w:rFonts w:eastAsia="Open Sans"/>
                <w:sz w:val="18"/>
                <w:szCs w:val="18"/>
                <w:lang w:val="fr-FR"/>
              </w:rPr>
              <w:t xml:space="preserve"> ou des communautés locales sur leurs terres et leurs ressources</w:t>
            </w:r>
          </w:p>
          <w:p w14:paraId="41F56DE5" w14:textId="72226DF7" w:rsidR="00D45C32" w:rsidRPr="00D402E5" w:rsidRDefault="00E70428"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Il n'existe pas d'autorité désignée (département ou agence), de budget ou de ressources humaines dédiées</w:t>
            </w:r>
          </w:p>
          <w:p w14:paraId="34F5AA42" w14:textId="6E0A4D8C" w:rsidR="00A52478" w:rsidRPr="00E70428" w:rsidRDefault="00E70428"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L'instabilité politique et/ou les conflits empêchent toute action significative en matière de tenure</w:t>
            </w:r>
          </w:p>
          <w:p w14:paraId="1C4DF929" w14:textId="77777777" w:rsidR="00E70428" w:rsidRPr="00E70428" w:rsidRDefault="00E70428" w:rsidP="00E70428">
            <w:p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p>
          <w:p w14:paraId="20647C2E" w14:textId="499478DE" w:rsidR="001B4150" w:rsidRPr="00201CB9" w:rsidRDefault="00E70428" w:rsidP="00201CB9">
            <w:pPr>
              <w:shd w:val="clear" w:color="auto" w:fill="auto"/>
              <w:snapToGrid w:val="0"/>
              <w:spacing w:after="120"/>
              <w:jc w:val="both"/>
              <w:cnfStyle w:val="000000100000" w:firstRow="0" w:lastRow="0" w:firstColumn="0" w:lastColumn="0" w:oddVBand="0" w:evenVBand="0" w:oddHBand="1" w:evenHBand="0" w:firstRowFirstColumn="0" w:firstRowLastColumn="0" w:lastRowFirstColumn="0" w:lastRowLastColumn="0"/>
              <w:rPr>
                <w:b/>
                <w:bCs/>
                <w:i/>
                <w:iCs/>
                <w:color w:val="44546A" w:themeColor="text2"/>
                <w:sz w:val="18"/>
                <w:szCs w:val="18"/>
              </w:rPr>
            </w:pPr>
            <w:r w:rsidRPr="00F039F7">
              <w:rPr>
                <w:rFonts w:eastAsia="Open Sans"/>
                <w:b/>
                <w:bCs/>
                <w:i/>
                <w:iCs/>
                <w:color w:val="44546A"/>
                <w:sz w:val="18"/>
                <w:szCs w:val="18"/>
                <w:lang w:val="fr-FR"/>
              </w:rPr>
              <w:lastRenderedPageBreak/>
              <w:t>Volonté du gouvernement infranational</w:t>
            </w:r>
          </w:p>
          <w:p w14:paraId="49FCC65B" w14:textId="6B34E52C" w:rsidR="001B4150" w:rsidRPr="00D402E5" w:rsidRDefault="00E70428" w:rsidP="00201CB9">
            <w:pPr>
              <w:pStyle w:val="ListParagraph"/>
              <w:numPr>
                <w:ilvl w:val="0"/>
                <w:numId w:val="5"/>
              </w:numPr>
              <w:shd w:val="clear" w:color="auto" w:fill="auto"/>
              <w:snapToGrid w:val="0"/>
              <w:spacing w:before="0" w:after="0"/>
              <w:contextualSpacing w:val="0"/>
              <w:jc w:val="both"/>
              <w:cnfStyle w:val="000000100000" w:firstRow="0" w:lastRow="0" w:firstColumn="0" w:lastColumn="0" w:oddVBand="0" w:evenVBand="0" w:oddHBand="1" w:evenHBand="0" w:firstRowFirstColumn="0" w:firstRowLastColumn="0" w:lastRowFirstColumn="0" w:lastRowLastColumn="0"/>
              <w:rPr>
                <w:sz w:val="18"/>
                <w:szCs w:val="18"/>
              </w:rPr>
            </w:pPr>
            <w:r>
              <w:rPr>
                <w:rFonts w:eastAsia="Open Sans"/>
                <w:b/>
                <w:bCs/>
                <w:sz w:val="18"/>
                <w:szCs w:val="18"/>
                <w:lang w:val="fr-FR"/>
              </w:rPr>
              <w:t>Convenable</w:t>
            </w:r>
            <w:r w:rsidRPr="00F039F7">
              <w:rPr>
                <w:rFonts w:eastAsia="Open Sans"/>
                <w:sz w:val="18"/>
                <w:szCs w:val="18"/>
                <w:lang w:val="fr-FR"/>
              </w:rPr>
              <w:t xml:space="preserve"> (2 points, si applicable - voir ci-dessus) : Le gouvernement infranational a démontré son engagement à faire progresser les droits par deux ou plusieurs des éléments suivants :</w:t>
            </w:r>
          </w:p>
          <w:p w14:paraId="01525C24" w14:textId="5640704E" w:rsidR="001B4150" w:rsidRPr="00D402E5" w:rsidRDefault="00E70428"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Soutien politique (gouvernement) et/ou administratif (départements, fonctionnaires) documenté aux droits fonciers communautaires (par exemple : déclarations politiques ou prioritaires écrites, plans infranationaux ou autres formes de reconnaissance publique)</w:t>
            </w:r>
          </w:p>
          <w:p w14:paraId="4FA584B4" w14:textId="5280A6D3" w:rsidR="001B4150" w:rsidRPr="00E70428" w:rsidRDefault="00E70428"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rFonts w:eastAsia="Open Sans"/>
                <w:sz w:val="18"/>
                <w:szCs w:val="18"/>
                <w:lang w:val="fr-FR"/>
              </w:rPr>
            </w:pPr>
            <w:r w:rsidRPr="00F039F7">
              <w:rPr>
                <w:rFonts w:eastAsia="Open Sans"/>
                <w:sz w:val="18"/>
                <w:szCs w:val="18"/>
                <w:lang w:val="fr-FR"/>
              </w:rPr>
              <w:t>Élaborer, adopter ou maintenir des réformes législatives, des cadres réglementaires ou des directives favorables par le gouvernement au pouvoir</w:t>
            </w:r>
          </w:p>
          <w:p w14:paraId="1BE0CD01" w14:textId="1DBBAB22" w:rsidR="001B4150" w:rsidRPr="00E70428" w:rsidRDefault="00E70428"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rFonts w:eastAsia="Open Sans"/>
                <w:sz w:val="18"/>
                <w:szCs w:val="18"/>
                <w:lang w:val="fr-FR"/>
              </w:rPr>
            </w:pPr>
            <w:r w:rsidRPr="00F039F7">
              <w:rPr>
                <w:rFonts w:eastAsia="Open Sans"/>
                <w:sz w:val="18"/>
                <w:szCs w:val="18"/>
                <w:lang w:val="fr-FR"/>
              </w:rPr>
              <w:t>Actions ciblées menées par les agences gouvernementales responsables pour faire progresser les droits fonciers communautaires (par exemple : mandat et budget clairs, coordination active avec les organisations communautaires responsables, investissements dédiés)</w:t>
            </w:r>
          </w:p>
          <w:p w14:paraId="1A25559D" w14:textId="0D517951" w:rsidR="001B4150" w:rsidRPr="00D402E5" w:rsidRDefault="00E70428" w:rsidP="00201CB9">
            <w:pPr>
              <w:pStyle w:val="ListParagraph"/>
              <w:numPr>
                <w:ilvl w:val="0"/>
                <w:numId w:val="5"/>
              </w:numPr>
              <w:shd w:val="clear" w:color="auto" w:fill="auto"/>
              <w:snapToGrid w:val="0"/>
              <w:spacing w:before="0" w:after="0"/>
              <w:contextualSpacing w:val="0"/>
              <w:jc w:val="both"/>
              <w:cnfStyle w:val="000000100000" w:firstRow="0" w:lastRow="0" w:firstColumn="0" w:lastColumn="0" w:oddVBand="0" w:evenVBand="0" w:oddHBand="1" w:evenHBand="0" w:firstRowFirstColumn="0" w:firstRowLastColumn="0" w:lastRowFirstColumn="0" w:lastRowLastColumn="0"/>
              <w:rPr>
                <w:sz w:val="18"/>
                <w:szCs w:val="18"/>
              </w:rPr>
            </w:pPr>
            <w:r>
              <w:rPr>
                <w:rFonts w:eastAsia="Open Sans"/>
                <w:b/>
                <w:bCs/>
                <w:sz w:val="18"/>
                <w:szCs w:val="18"/>
                <w:lang w:val="fr-FR"/>
              </w:rPr>
              <w:t>Plutôt convenable</w:t>
            </w:r>
            <w:r w:rsidRPr="00F039F7">
              <w:rPr>
                <w:rFonts w:eastAsia="Open Sans"/>
                <w:sz w:val="18"/>
                <w:szCs w:val="18"/>
                <w:lang w:val="fr-FR"/>
              </w:rPr>
              <w:t xml:space="preserve"> (1 point, si applicable, voir ci-dessus) : Certains </w:t>
            </w:r>
            <w:r>
              <w:rPr>
                <w:rFonts w:eastAsia="Open Sans"/>
                <w:sz w:val="18"/>
                <w:szCs w:val="18"/>
                <w:lang w:val="fr-FR"/>
              </w:rPr>
              <w:t>indications</w:t>
            </w:r>
            <w:r w:rsidRPr="00F039F7">
              <w:rPr>
                <w:rFonts w:eastAsia="Open Sans"/>
                <w:sz w:val="18"/>
                <w:szCs w:val="18"/>
                <w:lang w:val="fr-FR"/>
              </w:rPr>
              <w:t xml:space="preserve"> d'une volonté adéquate de la part du gouvernement infranational peuvent être présents, mais le soutien aux droits fonciers communautaires est entravé par un ou plusieurs des obstacles suivants :</w:t>
            </w:r>
          </w:p>
          <w:p w14:paraId="25522EFF" w14:textId="1AFE28E6" w:rsidR="001B4150" w:rsidRPr="00D402E5" w:rsidRDefault="00E70428"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Mesures limitées ou négligeables prises pour combler les lacunes, mettre en œuvre les plans ou résoudre les goulets d'étranglement</w:t>
            </w:r>
          </w:p>
          <w:p w14:paraId="1EB199B3" w14:textId="77777777" w:rsidR="00E70428" w:rsidRPr="00F039F7" w:rsidRDefault="00E70428" w:rsidP="00E70428">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lang w:val="fr-FR"/>
              </w:rPr>
            </w:pPr>
            <w:r w:rsidRPr="00F039F7">
              <w:rPr>
                <w:rFonts w:eastAsia="Open Sans"/>
                <w:sz w:val="18"/>
                <w:szCs w:val="18"/>
                <w:lang w:val="fr-FR"/>
              </w:rPr>
              <w:t xml:space="preserve">Existence de mandats institutionnels et de responsabilités concurrents </w:t>
            </w:r>
          </w:p>
          <w:p w14:paraId="56DC694D" w14:textId="1E621B81" w:rsidR="001B4150" w:rsidRPr="00D402E5" w:rsidRDefault="00E70428" w:rsidP="00E70428">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Confiance, coordination et engagement limités entre les autorités compétentes et les organisations autochtones ou de la société civile</w:t>
            </w:r>
          </w:p>
          <w:p w14:paraId="60C091E0" w14:textId="7C76B395" w:rsidR="001B4150" w:rsidRPr="00D402E5" w:rsidRDefault="00E70428" w:rsidP="00201CB9">
            <w:pPr>
              <w:pStyle w:val="ListParagraph"/>
              <w:numPr>
                <w:ilvl w:val="0"/>
                <w:numId w:val="5"/>
              </w:numPr>
              <w:shd w:val="clear" w:color="auto" w:fill="auto"/>
              <w:snapToGrid w:val="0"/>
              <w:spacing w:before="0" w:after="0"/>
              <w:contextualSpacing w:val="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b/>
                <w:bCs/>
                <w:sz w:val="18"/>
                <w:szCs w:val="18"/>
                <w:lang w:val="fr-FR"/>
              </w:rPr>
              <w:t>In</w:t>
            </w:r>
            <w:r>
              <w:rPr>
                <w:rFonts w:eastAsia="Open Sans"/>
                <w:b/>
                <w:bCs/>
                <w:sz w:val="18"/>
                <w:szCs w:val="18"/>
                <w:lang w:val="fr-FR"/>
              </w:rPr>
              <w:t>suffisant</w:t>
            </w:r>
            <w:r w:rsidRPr="00F039F7">
              <w:rPr>
                <w:rFonts w:eastAsia="Open Sans"/>
                <w:sz w:val="18"/>
                <w:szCs w:val="18"/>
                <w:lang w:val="fr-FR"/>
              </w:rPr>
              <w:t xml:space="preserve"> (0 point, si applicable, voir ci-dessus) : Le soutien aux droits fonciers communautaires est entravé par un ou plusieurs des éléments suivants :</w:t>
            </w:r>
          </w:p>
          <w:p w14:paraId="63D1D459" w14:textId="528A1E4C" w:rsidR="001B4150" w:rsidRPr="00D402E5" w:rsidRDefault="00E70428" w:rsidP="00201CB9">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 xml:space="preserve">Aucun soutien politique (gouvernement) et/ou administratif (départements, fonctionnaires) pour la reconnaissance légale des droits des peuples autochtones, des peuples </w:t>
            </w:r>
            <w:r>
              <w:rPr>
                <w:rFonts w:eastAsia="Open Sans"/>
                <w:sz w:val="18"/>
                <w:szCs w:val="18"/>
                <w:lang w:val="fr-FR"/>
              </w:rPr>
              <w:t>afro-descendants</w:t>
            </w:r>
            <w:r w:rsidRPr="00F039F7">
              <w:rPr>
                <w:rFonts w:eastAsia="Open Sans"/>
                <w:sz w:val="18"/>
                <w:szCs w:val="18"/>
                <w:lang w:val="fr-FR"/>
              </w:rPr>
              <w:t xml:space="preserve"> ou des communautés locales sur leurs terres et leurs ressources.</w:t>
            </w:r>
          </w:p>
          <w:p w14:paraId="2D8365B6" w14:textId="77777777" w:rsidR="00201CB9" w:rsidRPr="009245A4" w:rsidRDefault="009245A4" w:rsidP="009245A4">
            <w:pPr>
              <w:pStyle w:val="ListParagraph"/>
              <w:numPr>
                <w:ilvl w:val="1"/>
                <w:numId w:val="5"/>
              </w:num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Il n'existe pas d'autorité désignée (département ou agence), de budget ou de ressources humaines dédiées.</w:t>
            </w:r>
          </w:p>
          <w:p w14:paraId="7E7086C1" w14:textId="7A947CC4" w:rsidR="009245A4" w:rsidRPr="009245A4" w:rsidRDefault="009245A4" w:rsidP="009245A4">
            <w:pPr>
              <w:shd w:val="clear" w:color="auto" w:fill="auto"/>
              <w:spacing w:before="0" w:after="0"/>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F04381" w:rsidRPr="00D402E5" w14:paraId="7A60C33D" w14:textId="77777777" w:rsidTr="00201CB9">
        <w:trPr>
          <w:trHeight w:val="35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415A68"/>
          </w:tcPr>
          <w:p w14:paraId="077DA648" w14:textId="12308BE8" w:rsidR="00F04381" w:rsidRPr="00D402E5" w:rsidRDefault="009245A4" w:rsidP="00F04381">
            <w:pPr>
              <w:shd w:val="clear" w:color="auto" w:fill="auto"/>
              <w:spacing w:before="0" w:after="0"/>
              <w:rPr>
                <w:color w:val="FFFFFF" w:themeColor="background1"/>
                <w:sz w:val="18"/>
                <w:szCs w:val="18"/>
              </w:rPr>
            </w:pPr>
            <w:r w:rsidRPr="00F039F7">
              <w:rPr>
                <w:rFonts w:eastAsia="Open Sans"/>
                <w:color w:val="FFFFFF"/>
                <w:sz w:val="18"/>
                <w:szCs w:val="18"/>
                <w:lang w:val="fr-FR"/>
              </w:rPr>
              <w:lastRenderedPageBreak/>
              <w:t>Capacité gouvernementale</w:t>
            </w:r>
          </w:p>
        </w:tc>
      </w:tr>
      <w:tr w:rsidR="00F04381" w:rsidRPr="00D402E5" w14:paraId="3B3AB577" w14:textId="77777777" w:rsidTr="00201C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0" w:type="dxa"/>
            <w:gridSpan w:val="2"/>
          </w:tcPr>
          <w:p w14:paraId="6D2EE601" w14:textId="75B9E9E0" w:rsidR="00F04381" w:rsidRPr="00D402E5" w:rsidRDefault="009245A4" w:rsidP="0020446A">
            <w:pPr>
              <w:shd w:val="clear" w:color="auto" w:fill="auto"/>
              <w:spacing w:before="0" w:after="0"/>
              <w:jc w:val="both"/>
              <w:rPr>
                <w:sz w:val="18"/>
                <w:szCs w:val="18"/>
              </w:rPr>
            </w:pPr>
            <w:r w:rsidRPr="00F039F7">
              <w:rPr>
                <w:rFonts w:eastAsia="Open Sans"/>
                <w:sz w:val="18"/>
                <w:szCs w:val="18"/>
                <w:lang w:val="fr-FR"/>
              </w:rPr>
              <w:t xml:space="preserve">Système de notation : </w:t>
            </w:r>
            <w:r w:rsidRPr="00F039F7">
              <w:rPr>
                <w:rFonts w:eastAsia="Open Sans"/>
                <w:b w:val="0"/>
                <w:bCs w:val="0"/>
                <w:sz w:val="18"/>
                <w:szCs w:val="18"/>
                <w:lang w:val="fr-FR"/>
              </w:rPr>
              <w:t>Les définitions qualitatives sont utilisées pour évaluer la capacité du gouvernement, tant au niveau national qu'infranational, à mettre en œuvre les lois et les règlements relatifs à la reconnaissance des droits fonciers communautaires.</w:t>
            </w:r>
          </w:p>
        </w:tc>
      </w:tr>
      <w:tr w:rsidR="00F04381" w:rsidRPr="00D402E5" w14:paraId="4649957D" w14:textId="77777777" w:rsidTr="00201CB9">
        <w:trPr>
          <w:trHeight w:val="2843"/>
        </w:trPr>
        <w:tc>
          <w:tcPr>
            <w:cnfStyle w:val="001000000000" w:firstRow="0" w:lastRow="0" w:firstColumn="1" w:lastColumn="0" w:oddVBand="0" w:evenVBand="0" w:oddHBand="0" w:evenHBand="0" w:firstRowFirstColumn="0" w:firstRowLastColumn="0" w:lastRowFirstColumn="0" w:lastRowLastColumn="0"/>
            <w:tcW w:w="0" w:type="dxa"/>
          </w:tcPr>
          <w:p w14:paraId="56506EDF" w14:textId="77777777" w:rsidR="00F04381" w:rsidRPr="00D402E5" w:rsidRDefault="00F04381" w:rsidP="0020446A">
            <w:pPr>
              <w:shd w:val="clear" w:color="auto" w:fill="auto"/>
              <w:spacing w:before="0" w:after="0"/>
              <w:rPr>
                <w:sz w:val="18"/>
                <w:szCs w:val="18"/>
              </w:rPr>
            </w:pPr>
          </w:p>
        </w:tc>
        <w:tc>
          <w:tcPr>
            <w:tcW w:w="0" w:type="dxa"/>
          </w:tcPr>
          <w:p w14:paraId="5EB0A99E" w14:textId="3AF13183" w:rsidR="00F04381" w:rsidRPr="00D402E5" w:rsidRDefault="009245A4" w:rsidP="00201CB9">
            <w:pPr>
              <w:pStyle w:val="ListParagraph"/>
              <w:numPr>
                <w:ilvl w:val="0"/>
                <w:numId w:val="5"/>
              </w:numPr>
              <w:shd w:val="clear" w:color="auto" w:fill="auto"/>
              <w:spacing w:before="0"/>
              <w:jc w:val="both"/>
              <w:cnfStyle w:val="000000000000" w:firstRow="0" w:lastRow="0" w:firstColumn="0" w:lastColumn="0" w:oddVBand="0" w:evenVBand="0" w:oddHBand="0" w:evenHBand="0" w:firstRowFirstColumn="0" w:firstRowLastColumn="0" w:lastRowFirstColumn="0" w:lastRowLastColumn="0"/>
              <w:rPr>
                <w:sz w:val="18"/>
                <w:szCs w:val="18"/>
              </w:rPr>
            </w:pPr>
            <w:r>
              <w:rPr>
                <w:rFonts w:eastAsia="Open Sans"/>
                <w:b/>
                <w:bCs/>
                <w:sz w:val="18"/>
                <w:szCs w:val="18"/>
                <w:lang w:val="fr-FR"/>
              </w:rPr>
              <w:t>Convenable</w:t>
            </w:r>
            <w:r w:rsidRPr="00F039F7">
              <w:rPr>
                <w:rFonts w:eastAsia="Open Sans"/>
                <w:b/>
                <w:bCs/>
                <w:sz w:val="18"/>
                <w:szCs w:val="18"/>
                <w:lang w:val="fr-FR"/>
              </w:rPr>
              <w:t xml:space="preserve"> </w:t>
            </w:r>
            <w:r w:rsidRPr="00A930C5">
              <w:rPr>
                <w:rFonts w:eastAsia="Open Sans"/>
                <w:sz w:val="18"/>
                <w:szCs w:val="18"/>
                <w:lang w:val="fr-FR"/>
              </w:rPr>
              <w:t>(2 points)</w:t>
            </w:r>
            <w:r w:rsidRPr="00F039F7">
              <w:rPr>
                <w:rFonts w:eastAsia="Open Sans"/>
                <w:b/>
                <w:bCs/>
                <w:sz w:val="18"/>
                <w:szCs w:val="18"/>
                <w:lang w:val="fr-FR"/>
              </w:rPr>
              <w:t xml:space="preserve"> </w:t>
            </w:r>
            <w:r w:rsidRPr="00A930C5">
              <w:rPr>
                <w:rFonts w:eastAsia="Open Sans"/>
                <w:sz w:val="18"/>
                <w:szCs w:val="18"/>
                <w:lang w:val="fr-FR"/>
              </w:rPr>
              <w:t>:</w:t>
            </w:r>
            <w:r w:rsidRPr="00F039F7">
              <w:rPr>
                <w:rFonts w:eastAsia="Open Sans"/>
                <w:sz w:val="18"/>
                <w:szCs w:val="18"/>
                <w:lang w:val="fr-FR"/>
              </w:rPr>
              <w:t xml:space="preserve"> Le pays dispose d'une unité ou d'un département dédié, doté de personnel et de ressources, pour soutenir la mise en œuvre des procédures administratives liées à la démarcation, à la titrisation et à l'enregistrement des terres.</w:t>
            </w:r>
          </w:p>
          <w:p w14:paraId="3A680903" w14:textId="06872C5E" w:rsidR="00F04381" w:rsidRPr="00D402E5" w:rsidRDefault="009245A4" w:rsidP="00201CB9">
            <w:pPr>
              <w:pStyle w:val="ListParagraph"/>
              <w:numPr>
                <w:ilvl w:val="0"/>
                <w:numId w:val="5"/>
              </w:numPr>
              <w:shd w:val="clear" w:color="auto" w:fill="auto"/>
              <w:spacing w:before="0"/>
              <w:jc w:val="both"/>
              <w:cnfStyle w:val="000000000000" w:firstRow="0" w:lastRow="0" w:firstColumn="0" w:lastColumn="0" w:oddVBand="0" w:evenVBand="0" w:oddHBand="0" w:evenHBand="0" w:firstRowFirstColumn="0" w:firstRowLastColumn="0" w:lastRowFirstColumn="0" w:lastRowLastColumn="0"/>
              <w:rPr>
                <w:sz w:val="18"/>
                <w:szCs w:val="18"/>
              </w:rPr>
            </w:pPr>
            <w:r>
              <w:rPr>
                <w:rFonts w:eastAsia="Open Sans"/>
                <w:b/>
                <w:bCs/>
                <w:sz w:val="18"/>
                <w:szCs w:val="18"/>
                <w:lang w:val="fr-FR"/>
              </w:rPr>
              <w:t>Plutôt convenable</w:t>
            </w:r>
            <w:r w:rsidRPr="00F039F7">
              <w:rPr>
                <w:rFonts w:eastAsia="Open Sans"/>
                <w:b/>
                <w:bCs/>
                <w:sz w:val="18"/>
                <w:szCs w:val="18"/>
                <w:lang w:val="fr-FR"/>
              </w:rPr>
              <w:t xml:space="preserve"> </w:t>
            </w:r>
            <w:r w:rsidRPr="00A930C5">
              <w:rPr>
                <w:rFonts w:eastAsia="Open Sans"/>
                <w:sz w:val="18"/>
                <w:szCs w:val="18"/>
                <w:lang w:val="fr-FR"/>
              </w:rPr>
              <w:t>(1 point) :</w:t>
            </w:r>
            <w:r w:rsidRPr="0056125B">
              <w:rPr>
                <w:rFonts w:eastAsia="Open Sans"/>
                <w:sz w:val="18"/>
                <w:szCs w:val="18"/>
                <w:lang w:val="fr-FR"/>
              </w:rPr>
              <w:t xml:space="preserve"> </w:t>
            </w:r>
            <w:r w:rsidRPr="00F039F7">
              <w:rPr>
                <w:rFonts w:eastAsia="Open Sans"/>
                <w:sz w:val="18"/>
                <w:szCs w:val="18"/>
                <w:lang w:val="fr-FR"/>
              </w:rPr>
              <w:t>Le pays dispose d'une unité ou d'un département dédié pour soutenir l'administration des droits fonciers mais ne dispose pas des capacités techniques, des exigences procédurales ou des ressources financières nécessaires pour mettre en œuvre efficacement les réformes de la tenure sur le terrain.</w:t>
            </w:r>
          </w:p>
          <w:p w14:paraId="6971EDAB" w14:textId="77777777" w:rsidR="0006181A" w:rsidRPr="009245A4" w:rsidRDefault="009245A4" w:rsidP="0006181A">
            <w:pPr>
              <w:pStyle w:val="ListParagraph"/>
              <w:numPr>
                <w:ilvl w:val="1"/>
                <w:numId w:val="5"/>
              </w:numPr>
              <w:shd w:val="clear" w:color="auto" w:fill="auto"/>
              <w:spacing w:before="0" w:after="0"/>
              <w:jc w:val="both"/>
              <w:cnfStyle w:val="000000000000" w:firstRow="0" w:lastRow="0" w:firstColumn="0" w:lastColumn="0" w:oddVBand="0" w:evenVBand="0" w:oddHBand="0" w:evenHBand="0" w:firstRowFirstColumn="0" w:firstRowLastColumn="0" w:lastRowFirstColumn="0" w:lastRowLastColumn="0"/>
              <w:rPr>
                <w:sz w:val="18"/>
                <w:szCs w:val="18"/>
              </w:rPr>
            </w:pPr>
            <w:r w:rsidRPr="00F039F7">
              <w:rPr>
                <w:rFonts w:eastAsia="Open Sans"/>
                <w:b/>
                <w:bCs/>
                <w:sz w:val="18"/>
                <w:szCs w:val="18"/>
                <w:lang w:val="fr-FR"/>
              </w:rPr>
              <w:t>I</w:t>
            </w:r>
            <w:r>
              <w:rPr>
                <w:rFonts w:eastAsia="Open Sans"/>
                <w:b/>
                <w:bCs/>
                <w:sz w:val="18"/>
                <w:szCs w:val="18"/>
                <w:lang w:val="fr-FR"/>
              </w:rPr>
              <w:t>nsuffisant</w:t>
            </w:r>
            <w:r w:rsidRPr="00F039F7">
              <w:rPr>
                <w:rFonts w:eastAsia="Open Sans"/>
                <w:b/>
                <w:bCs/>
                <w:sz w:val="18"/>
                <w:szCs w:val="18"/>
                <w:lang w:val="fr-FR"/>
              </w:rPr>
              <w:t xml:space="preserve"> </w:t>
            </w:r>
            <w:r w:rsidRPr="00A930C5">
              <w:rPr>
                <w:rFonts w:eastAsia="Open Sans"/>
                <w:sz w:val="18"/>
                <w:szCs w:val="18"/>
                <w:lang w:val="fr-FR"/>
              </w:rPr>
              <w:t>(0 point) :</w:t>
            </w:r>
            <w:r w:rsidRPr="0056125B">
              <w:rPr>
                <w:rFonts w:eastAsia="Open Sans"/>
                <w:sz w:val="18"/>
                <w:szCs w:val="18"/>
                <w:lang w:val="fr-FR"/>
              </w:rPr>
              <w:t xml:space="preserve"> </w:t>
            </w:r>
            <w:r w:rsidRPr="00F039F7">
              <w:rPr>
                <w:rFonts w:eastAsia="Open Sans"/>
                <w:sz w:val="18"/>
                <w:szCs w:val="18"/>
                <w:lang w:val="fr-FR"/>
              </w:rPr>
              <w:t>Le pays ne dispose pas des moyens techniques ou financiers, ni de l'expérience préalable requise pour mener à bien des processus complexes sur le terrain, pour soutenir et mettre en œuvre la réforme de la tenure.</w:t>
            </w:r>
          </w:p>
          <w:p w14:paraId="5F5E78B5" w14:textId="52B7ACCF" w:rsidR="0006181A" w:rsidRPr="008102C0" w:rsidRDefault="0006181A" w:rsidP="0006181A">
            <w:pPr>
              <w:shd w:val="clear" w:color="auto" w:fill="auto"/>
              <w:snapToGrid w:val="0"/>
              <w:spacing w:before="0" w:after="120"/>
              <w:jc w:val="both"/>
              <w:cnfStyle w:val="000000000000" w:firstRow="0" w:lastRow="0" w:firstColumn="0" w:lastColumn="0" w:oddVBand="0" w:evenVBand="0" w:oddHBand="0" w:evenHBand="0" w:firstRowFirstColumn="0" w:firstRowLastColumn="0" w:lastRowFirstColumn="0" w:lastRowLastColumn="0"/>
            </w:pPr>
          </w:p>
        </w:tc>
      </w:tr>
    </w:tbl>
    <w:tbl>
      <w:tblPr>
        <w:tblStyle w:val="TableGrid"/>
        <w:tblW w:w="0" w:type="auto"/>
        <w:tblLook w:val="04A0" w:firstRow="1" w:lastRow="0" w:firstColumn="1" w:lastColumn="0" w:noHBand="0" w:noVBand="1"/>
      </w:tblPr>
      <w:tblGrid>
        <w:gridCol w:w="445"/>
        <w:gridCol w:w="8905"/>
      </w:tblGrid>
      <w:tr w:rsidR="00D06C39" w:rsidRPr="004204BE" w14:paraId="0F621C9F" w14:textId="77777777" w:rsidTr="00D06C39">
        <w:tc>
          <w:tcPr>
            <w:tcW w:w="9350" w:type="dxa"/>
            <w:gridSpan w:val="2"/>
            <w:shd w:val="clear" w:color="auto" w:fill="415A68"/>
          </w:tcPr>
          <w:p w14:paraId="696629E5" w14:textId="5B51B213" w:rsidR="00D06C39" w:rsidRPr="00D402E5" w:rsidRDefault="0006181A" w:rsidP="00D06C39">
            <w:pPr>
              <w:shd w:val="clear" w:color="auto" w:fill="auto"/>
              <w:spacing w:before="0" w:after="0"/>
              <w:rPr>
                <w:color w:val="FFFFFF" w:themeColor="background1"/>
                <w:sz w:val="18"/>
                <w:szCs w:val="18"/>
              </w:rPr>
            </w:pPr>
            <w:r w:rsidRPr="00F039F7">
              <w:rPr>
                <w:rFonts w:eastAsia="Open Sans"/>
                <w:b/>
                <w:bCs/>
                <w:color w:val="FFFFFF"/>
                <w:sz w:val="18"/>
                <w:szCs w:val="18"/>
                <w:lang w:val="fr-FR"/>
              </w:rPr>
              <w:lastRenderedPageBreak/>
              <w:t>Capacité des détenteurs de droits et des OSC</w:t>
            </w:r>
          </w:p>
        </w:tc>
      </w:tr>
      <w:tr w:rsidR="00D06C39" w14:paraId="4BD688C9" w14:textId="77777777" w:rsidTr="00D06C39">
        <w:tc>
          <w:tcPr>
            <w:tcW w:w="9350" w:type="dxa"/>
            <w:gridSpan w:val="2"/>
            <w:shd w:val="clear" w:color="auto" w:fill="DCE6ED"/>
          </w:tcPr>
          <w:p w14:paraId="41F0BEDA" w14:textId="259A979B" w:rsidR="00D06C39" w:rsidRPr="00D402E5" w:rsidRDefault="0006181A" w:rsidP="00D06C39">
            <w:pPr>
              <w:shd w:val="clear" w:color="auto" w:fill="auto"/>
              <w:spacing w:before="0" w:after="0"/>
              <w:jc w:val="both"/>
              <w:rPr>
                <w:sz w:val="18"/>
                <w:szCs w:val="18"/>
              </w:rPr>
            </w:pPr>
            <w:r w:rsidRPr="00F039F7">
              <w:rPr>
                <w:rFonts w:eastAsia="Open Sans"/>
                <w:b/>
                <w:bCs/>
                <w:sz w:val="18"/>
                <w:szCs w:val="18"/>
                <w:lang w:val="fr-FR"/>
              </w:rPr>
              <w:t xml:space="preserve">Système de notation : </w:t>
            </w:r>
            <w:r w:rsidRPr="00F039F7">
              <w:rPr>
                <w:rFonts w:eastAsia="Open Sans"/>
                <w:sz w:val="18"/>
                <w:szCs w:val="18"/>
                <w:lang w:val="fr-FR"/>
              </w:rPr>
              <w:t xml:space="preserve">Les définitions qualitatives sont utilisées pour évaluer la capacité des organisations de détenteurs des droits et de la société civile (OSC) aux niveaux national et infranational à </w:t>
            </w:r>
            <w:r>
              <w:rPr>
                <w:rFonts w:eastAsia="Open Sans"/>
                <w:sz w:val="18"/>
                <w:szCs w:val="18"/>
                <w:lang w:val="fr-FR"/>
              </w:rPr>
              <w:t>soutenir la mise</w:t>
            </w:r>
            <w:r w:rsidRPr="00F039F7">
              <w:rPr>
                <w:rFonts w:eastAsia="Open Sans"/>
                <w:sz w:val="18"/>
                <w:szCs w:val="18"/>
                <w:lang w:val="fr-FR"/>
              </w:rPr>
              <w:t xml:space="preserve"> en œuvre des lois et règlements relatifs à la reconnaissance des droits fonciers communautaires.</w:t>
            </w:r>
          </w:p>
        </w:tc>
      </w:tr>
      <w:tr w:rsidR="00D06C39" w14:paraId="705F584F" w14:textId="77777777" w:rsidTr="0020446A">
        <w:tc>
          <w:tcPr>
            <w:tcW w:w="445" w:type="dxa"/>
          </w:tcPr>
          <w:p w14:paraId="004A6DD3" w14:textId="77777777" w:rsidR="00D06C39" w:rsidRPr="00D402E5" w:rsidRDefault="00D06C39" w:rsidP="0020446A">
            <w:pPr>
              <w:rPr>
                <w:sz w:val="18"/>
                <w:szCs w:val="18"/>
              </w:rPr>
            </w:pPr>
          </w:p>
        </w:tc>
        <w:tc>
          <w:tcPr>
            <w:tcW w:w="8905" w:type="dxa"/>
          </w:tcPr>
          <w:p w14:paraId="1F1803D2" w14:textId="1C327FFD" w:rsidR="00D06C39" w:rsidRPr="00D402E5" w:rsidRDefault="0006181A" w:rsidP="00201CB9">
            <w:pPr>
              <w:pStyle w:val="ListParagraph"/>
              <w:numPr>
                <w:ilvl w:val="0"/>
                <w:numId w:val="9"/>
              </w:numPr>
              <w:shd w:val="clear" w:color="auto" w:fill="auto"/>
              <w:spacing w:before="0"/>
              <w:ind w:left="336"/>
              <w:jc w:val="both"/>
              <w:rPr>
                <w:sz w:val="18"/>
                <w:szCs w:val="18"/>
              </w:rPr>
            </w:pPr>
            <w:r>
              <w:rPr>
                <w:rFonts w:eastAsia="Open Sans"/>
                <w:b/>
                <w:bCs/>
                <w:sz w:val="18"/>
                <w:szCs w:val="18"/>
                <w:lang w:val="fr-FR"/>
              </w:rPr>
              <w:t>Convenable</w:t>
            </w:r>
            <w:r w:rsidRPr="00F039F7">
              <w:rPr>
                <w:rFonts w:eastAsia="Open Sans"/>
                <w:b/>
                <w:bCs/>
                <w:sz w:val="18"/>
                <w:szCs w:val="18"/>
                <w:lang w:val="fr-FR"/>
              </w:rPr>
              <w:t xml:space="preserve"> </w:t>
            </w:r>
            <w:r w:rsidRPr="00A930C5">
              <w:rPr>
                <w:rFonts w:eastAsia="Open Sans"/>
                <w:sz w:val="18"/>
                <w:szCs w:val="18"/>
                <w:lang w:val="fr-FR"/>
              </w:rPr>
              <w:t>(2 points) :</w:t>
            </w:r>
            <w:r w:rsidRPr="00931489">
              <w:rPr>
                <w:rFonts w:eastAsia="Open Sans"/>
                <w:sz w:val="18"/>
                <w:szCs w:val="18"/>
                <w:lang w:val="fr-FR"/>
              </w:rPr>
              <w:t xml:space="preserve"> </w:t>
            </w:r>
            <w:r w:rsidRPr="00F039F7">
              <w:rPr>
                <w:rFonts w:eastAsia="Open Sans"/>
                <w:sz w:val="18"/>
                <w:szCs w:val="18"/>
                <w:lang w:val="fr-FR"/>
              </w:rPr>
              <w:t>Les OSC locales, les organisations de détenteurs de droits et leurs alliés sont organisés et coordonnés dans leurs actions, et disposent des capacités techniques requises pour soutenir les procédures de cartographie et de titrisation.</w:t>
            </w:r>
          </w:p>
          <w:p w14:paraId="7757527F" w14:textId="2F42F904" w:rsidR="00D06C39" w:rsidRPr="00D402E5" w:rsidRDefault="0006181A" w:rsidP="00201CB9">
            <w:pPr>
              <w:pStyle w:val="ListParagraph"/>
              <w:numPr>
                <w:ilvl w:val="0"/>
                <w:numId w:val="9"/>
              </w:numPr>
              <w:shd w:val="clear" w:color="auto" w:fill="auto"/>
              <w:spacing w:before="0"/>
              <w:ind w:left="336"/>
              <w:jc w:val="both"/>
              <w:rPr>
                <w:sz w:val="18"/>
                <w:szCs w:val="18"/>
              </w:rPr>
            </w:pPr>
            <w:r>
              <w:rPr>
                <w:rFonts w:eastAsia="Open Sans"/>
                <w:b/>
                <w:bCs/>
                <w:sz w:val="18"/>
                <w:szCs w:val="18"/>
                <w:lang w:val="fr-FR"/>
              </w:rPr>
              <w:t>Plutôt convenable</w:t>
            </w:r>
            <w:r w:rsidRPr="00F039F7">
              <w:rPr>
                <w:rFonts w:eastAsia="Open Sans"/>
                <w:b/>
                <w:bCs/>
                <w:sz w:val="18"/>
                <w:szCs w:val="18"/>
                <w:lang w:val="fr-FR"/>
              </w:rPr>
              <w:t xml:space="preserve"> </w:t>
            </w:r>
            <w:r w:rsidRPr="00A930C5">
              <w:rPr>
                <w:rFonts w:eastAsia="Open Sans"/>
                <w:sz w:val="18"/>
                <w:szCs w:val="18"/>
                <w:lang w:val="fr-FR"/>
              </w:rPr>
              <w:t>(1 point) :</w:t>
            </w:r>
            <w:r w:rsidRPr="00F039F7">
              <w:rPr>
                <w:rFonts w:eastAsia="Open Sans"/>
                <w:sz w:val="18"/>
                <w:szCs w:val="18"/>
                <w:lang w:val="fr-FR"/>
              </w:rPr>
              <w:t xml:space="preserve"> Les OSC locales, les organisations de détenteurs de droits et leurs alliés sont organisés et coordonnés dans leurs actions mais ne disposent ni d'un engagement efficace auprès des entités gouvernementales compétentes, ni des compétences techniques ou des ressources nécessaires pour répondre à toutes les exigences en matière de titrisation.</w:t>
            </w:r>
          </w:p>
          <w:p w14:paraId="5333415C" w14:textId="6E8D3928" w:rsidR="00D06C39" w:rsidRPr="00D402E5" w:rsidRDefault="0006181A" w:rsidP="00201CB9">
            <w:pPr>
              <w:pStyle w:val="ListParagraph"/>
              <w:numPr>
                <w:ilvl w:val="0"/>
                <w:numId w:val="9"/>
              </w:numPr>
              <w:shd w:val="clear" w:color="auto" w:fill="auto"/>
              <w:spacing w:before="0"/>
              <w:ind w:left="336"/>
              <w:jc w:val="both"/>
              <w:rPr>
                <w:sz w:val="18"/>
                <w:szCs w:val="18"/>
              </w:rPr>
            </w:pPr>
            <w:r w:rsidRPr="00F039F7">
              <w:rPr>
                <w:rFonts w:eastAsia="Open Sans"/>
                <w:b/>
                <w:bCs/>
                <w:sz w:val="18"/>
                <w:szCs w:val="18"/>
                <w:lang w:val="fr-FR"/>
              </w:rPr>
              <w:t>In</w:t>
            </w:r>
            <w:r>
              <w:rPr>
                <w:rFonts w:eastAsia="Open Sans"/>
                <w:b/>
                <w:bCs/>
                <w:sz w:val="18"/>
                <w:szCs w:val="18"/>
                <w:lang w:val="fr-FR"/>
              </w:rPr>
              <w:t>suffisant</w:t>
            </w:r>
            <w:r w:rsidRPr="00F039F7">
              <w:rPr>
                <w:rFonts w:eastAsia="Open Sans"/>
                <w:b/>
                <w:bCs/>
                <w:sz w:val="18"/>
                <w:szCs w:val="18"/>
                <w:lang w:val="fr-FR"/>
              </w:rPr>
              <w:t xml:space="preserve"> </w:t>
            </w:r>
            <w:r w:rsidRPr="00A930C5">
              <w:rPr>
                <w:rFonts w:eastAsia="Open Sans"/>
                <w:sz w:val="18"/>
                <w:szCs w:val="18"/>
                <w:lang w:val="fr-FR"/>
              </w:rPr>
              <w:t>(0 point) :</w:t>
            </w:r>
            <w:r w:rsidRPr="00F039F7">
              <w:rPr>
                <w:rFonts w:eastAsia="Open Sans"/>
                <w:sz w:val="18"/>
                <w:szCs w:val="18"/>
                <w:lang w:val="fr-FR"/>
              </w:rPr>
              <w:t xml:space="preserve"> Les OSC locales, les organisations de détenteurs de droits et leurs alliés ne disposent pas des capacités techniques, de l'expérience ou des ressources nécessaires pour soutenir la reconnaissance légale de leurs droits sur les terres et les ressources.</w:t>
            </w:r>
          </w:p>
        </w:tc>
      </w:tr>
    </w:tbl>
    <w:p w14:paraId="3E2CCA85" w14:textId="37E5A741" w:rsidR="00D06C39" w:rsidRDefault="0006181A" w:rsidP="00D06C39">
      <w:pPr>
        <w:jc w:val="both"/>
      </w:pPr>
      <w:r w:rsidRPr="00F039F7">
        <w:rPr>
          <w:rFonts w:eastAsia="Open Sans"/>
          <w:szCs w:val="20"/>
          <w:lang w:val="fr-FR"/>
        </w:rPr>
        <w:t>Les notes possibles pour chaque paramètre de l'état de préparation sont également résumées dans le tableau 2. Les paramètres de l'état de préparation sont pondérés afin de refléter l'importance primordiale des cadres juridiques et de la volonté du gouvernement national de créer des environnements favorables à l'avancement et à la mise en œuvre des réformes de tenure.</w:t>
      </w:r>
    </w:p>
    <w:p w14:paraId="567159F7" w14:textId="35596F7F" w:rsidR="00BA5AC0" w:rsidRPr="00997E72" w:rsidRDefault="0006181A" w:rsidP="00DA002E">
      <w:pPr>
        <w:pStyle w:val="Heading3"/>
      </w:pPr>
      <w:bookmarkStart w:id="10" w:name="_Toc89533347"/>
      <w:bookmarkStart w:id="11" w:name="_Toc103688937"/>
      <w:r w:rsidRPr="00F039F7">
        <w:rPr>
          <w:rFonts w:eastAsia="Open Sans"/>
          <w:bCs/>
          <w:szCs w:val="20"/>
          <w:lang w:val="fr-FR"/>
        </w:rPr>
        <w:t>Tableau 2. Résultats pour chaque paramètre de l'état de préparation</w:t>
      </w:r>
      <w:bookmarkEnd w:id="10"/>
      <w:bookmarkEnd w:id="11"/>
    </w:p>
    <w:tbl>
      <w:tblPr>
        <w:tblStyle w:val="RRI"/>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76"/>
        <w:gridCol w:w="2376"/>
        <w:gridCol w:w="2376"/>
      </w:tblGrid>
      <w:tr w:rsidR="00BA5AC0" w14:paraId="27A3A9C2" w14:textId="0F690893" w:rsidTr="00EC702B">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59533C4" w14:textId="484CB79A" w:rsidR="00BA5AC0" w:rsidRPr="00EC702B" w:rsidRDefault="00BA5AC0" w:rsidP="00EC702B">
            <w:pPr>
              <w:shd w:val="clear" w:color="auto" w:fill="auto"/>
              <w:spacing w:before="0" w:after="0" w:line="240" w:lineRule="auto"/>
              <w:rPr>
                <w:b w:val="0"/>
                <w:bCs w:val="0"/>
                <w:color w:val="FFFFFF" w:themeColor="background1"/>
              </w:rPr>
            </w:pPr>
            <w:bookmarkStart w:id="12" w:name="_Hlk88479818"/>
          </w:p>
        </w:tc>
        <w:tc>
          <w:tcPr>
            <w:tcW w:w="237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7EFDAA4" w14:textId="40AE4680" w:rsidR="00BA5AC0" w:rsidRPr="00997E72" w:rsidRDefault="007E6754" w:rsidP="00EC702B">
            <w:pPr>
              <w:shd w:val="clear" w:color="auto" w:fill="auto"/>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eastAsia="Open Sans"/>
                <w:color w:val="FFFFFF"/>
                <w:szCs w:val="20"/>
                <w:lang w:val="fr-FR"/>
              </w:rPr>
              <w:t>Convenable</w:t>
            </w:r>
          </w:p>
        </w:tc>
        <w:tc>
          <w:tcPr>
            <w:tcW w:w="237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9894D5E" w14:textId="003A76F1" w:rsidR="00BA5AC0" w:rsidRPr="00997E72" w:rsidRDefault="007E6754" w:rsidP="00EC702B">
            <w:pPr>
              <w:shd w:val="clear" w:color="auto" w:fill="auto"/>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eastAsia="Open Sans"/>
                <w:color w:val="FFFFFF"/>
                <w:szCs w:val="20"/>
                <w:lang w:val="fr-FR"/>
              </w:rPr>
              <w:t>Plutôt convenable</w:t>
            </w:r>
          </w:p>
        </w:tc>
        <w:tc>
          <w:tcPr>
            <w:tcW w:w="237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B7AB8FB" w14:textId="50147DD3" w:rsidR="00BA5AC0" w:rsidRPr="00997E72" w:rsidRDefault="007E6754" w:rsidP="00EC702B">
            <w:pPr>
              <w:shd w:val="clear" w:color="auto" w:fill="auto"/>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039F7">
              <w:rPr>
                <w:rFonts w:eastAsia="Open Sans"/>
                <w:color w:val="FFFFFF"/>
                <w:szCs w:val="20"/>
                <w:lang w:val="fr-FR"/>
              </w:rPr>
              <w:t>In</w:t>
            </w:r>
            <w:r>
              <w:rPr>
                <w:rFonts w:eastAsia="Open Sans"/>
                <w:color w:val="FFFFFF"/>
                <w:szCs w:val="20"/>
                <w:lang w:val="fr-FR"/>
              </w:rPr>
              <w:t>suffisant</w:t>
            </w:r>
          </w:p>
        </w:tc>
      </w:tr>
      <w:tr w:rsidR="00BA5AC0" w:rsidRPr="00D402E5" w14:paraId="213F2CAD" w14:textId="3E175D42" w:rsidTr="004271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14:paraId="4CB44BB2" w14:textId="74BC1DF9" w:rsidR="00BA5AC0" w:rsidRPr="00D402E5" w:rsidRDefault="00BA5AC0" w:rsidP="00D402E5">
            <w:pPr>
              <w:shd w:val="clear" w:color="auto" w:fill="auto"/>
              <w:spacing w:before="0" w:after="0" w:line="240" w:lineRule="auto"/>
              <w:rPr>
                <w:b w:val="0"/>
                <w:bCs w:val="0"/>
                <w:sz w:val="18"/>
                <w:szCs w:val="18"/>
              </w:rPr>
            </w:pPr>
          </w:p>
        </w:tc>
        <w:tc>
          <w:tcPr>
            <w:tcW w:w="2376" w:type="dxa"/>
            <w:shd w:val="clear" w:color="auto" w:fill="49A178"/>
            <w:vAlign w:val="center"/>
          </w:tcPr>
          <w:p w14:paraId="3BC8CBCC" w14:textId="15017A43" w:rsidR="00BA5AC0" w:rsidRPr="00D402E5" w:rsidRDefault="00BA5AC0" w:rsidP="00D402E5">
            <w:pPr>
              <w:shd w:val="clear" w:color="auto" w:fill="auto"/>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376" w:type="dxa"/>
            <w:shd w:val="clear" w:color="auto" w:fill="AFD08D"/>
            <w:vAlign w:val="center"/>
          </w:tcPr>
          <w:p w14:paraId="4DCEE99A" w14:textId="77777777" w:rsidR="00BA5AC0" w:rsidRPr="00D402E5" w:rsidRDefault="00BA5AC0" w:rsidP="00D402E5">
            <w:pPr>
              <w:shd w:val="clear" w:color="auto" w:fill="auto"/>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376" w:type="dxa"/>
            <w:shd w:val="clear" w:color="auto" w:fill="FFD966" w:themeFill="accent4" w:themeFillTint="99"/>
            <w:vAlign w:val="center"/>
          </w:tcPr>
          <w:p w14:paraId="21619248" w14:textId="77777777" w:rsidR="00BA5AC0" w:rsidRPr="00D402E5" w:rsidRDefault="00BA5AC0" w:rsidP="00D402E5">
            <w:pPr>
              <w:shd w:val="clear" w:color="auto" w:fill="auto"/>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BA5AC0" w:rsidRPr="00D402E5" w14:paraId="6C1B1F02" w14:textId="37359DD0" w:rsidTr="00EC702B">
        <w:trPr>
          <w:trHeight w:val="287"/>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0FA19AFA" w14:textId="21D8083C" w:rsidR="00BA5AC0" w:rsidRPr="00D402E5" w:rsidRDefault="007E6754" w:rsidP="00D402E5">
            <w:pPr>
              <w:shd w:val="clear" w:color="auto" w:fill="auto"/>
              <w:spacing w:before="0" w:after="0" w:line="240" w:lineRule="auto"/>
              <w:rPr>
                <w:b w:val="0"/>
                <w:bCs w:val="0"/>
                <w:sz w:val="18"/>
                <w:szCs w:val="18"/>
              </w:rPr>
            </w:pPr>
            <w:r w:rsidRPr="00F039F7">
              <w:rPr>
                <w:rFonts w:eastAsia="Open Sans"/>
                <w:b w:val="0"/>
                <w:bCs w:val="0"/>
                <w:sz w:val="18"/>
                <w:szCs w:val="18"/>
                <w:lang w:val="fr-FR"/>
              </w:rPr>
              <w:t>Cadre juridique</w:t>
            </w:r>
          </w:p>
        </w:tc>
        <w:tc>
          <w:tcPr>
            <w:tcW w:w="2376" w:type="dxa"/>
            <w:vAlign w:val="center"/>
          </w:tcPr>
          <w:p w14:paraId="45C33027" w14:textId="61D74F15" w:rsidR="00BA5AC0" w:rsidRPr="00D402E5" w:rsidRDefault="00EC702B" w:rsidP="00D402E5">
            <w:pPr>
              <w:shd w:val="clear" w:color="auto" w:fill="auto"/>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D402E5">
              <w:rPr>
                <w:sz w:val="18"/>
                <w:szCs w:val="18"/>
              </w:rPr>
              <w:t>5</w:t>
            </w:r>
          </w:p>
        </w:tc>
        <w:tc>
          <w:tcPr>
            <w:tcW w:w="2376" w:type="dxa"/>
            <w:vAlign w:val="center"/>
          </w:tcPr>
          <w:p w14:paraId="002754EF" w14:textId="40C83B7E" w:rsidR="00BA5AC0" w:rsidRPr="00D402E5" w:rsidRDefault="00EC702B" w:rsidP="00D402E5">
            <w:pPr>
              <w:shd w:val="clear" w:color="auto" w:fill="auto"/>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D402E5">
              <w:rPr>
                <w:sz w:val="18"/>
                <w:szCs w:val="18"/>
              </w:rPr>
              <w:t>3</w:t>
            </w:r>
          </w:p>
        </w:tc>
        <w:tc>
          <w:tcPr>
            <w:tcW w:w="2376" w:type="dxa"/>
            <w:vAlign w:val="center"/>
          </w:tcPr>
          <w:p w14:paraId="1EF3FD3F" w14:textId="5C9F3A0C" w:rsidR="00BA5AC0" w:rsidRPr="00D402E5" w:rsidRDefault="00EC702B" w:rsidP="00D402E5">
            <w:pPr>
              <w:shd w:val="clear" w:color="auto" w:fill="auto"/>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D402E5">
              <w:rPr>
                <w:sz w:val="18"/>
                <w:szCs w:val="18"/>
              </w:rPr>
              <w:t>0</w:t>
            </w:r>
          </w:p>
        </w:tc>
      </w:tr>
      <w:tr w:rsidR="00BA5AC0" w:rsidRPr="00D402E5" w14:paraId="4105AD45" w14:textId="114714B5" w:rsidTr="00EC70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14:paraId="67817D92" w14:textId="79B3AFEF" w:rsidR="00BA5AC0" w:rsidRPr="00D402E5" w:rsidRDefault="007E6754" w:rsidP="00D402E5">
            <w:pPr>
              <w:shd w:val="clear" w:color="auto" w:fill="auto"/>
              <w:spacing w:before="0" w:after="0" w:line="240" w:lineRule="auto"/>
              <w:rPr>
                <w:b w:val="0"/>
                <w:bCs w:val="0"/>
                <w:sz w:val="18"/>
                <w:szCs w:val="18"/>
              </w:rPr>
            </w:pPr>
            <w:r w:rsidRPr="00F039F7">
              <w:rPr>
                <w:rFonts w:eastAsia="Open Sans"/>
                <w:b w:val="0"/>
                <w:bCs w:val="0"/>
                <w:sz w:val="18"/>
                <w:szCs w:val="18"/>
                <w:lang w:val="fr-FR"/>
              </w:rPr>
              <w:t>Volonté du gouvernement national</w:t>
            </w:r>
          </w:p>
        </w:tc>
        <w:tc>
          <w:tcPr>
            <w:tcW w:w="2376" w:type="dxa"/>
            <w:shd w:val="clear" w:color="auto" w:fill="FFFFFF" w:themeFill="background1"/>
            <w:vAlign w:val="center"/>
          </w:tcPr>
          <w:p w14:paraId="6DBB2EF7" w14:textId="61A0121D" w:rsidR="00BA5AC0" w:rsidRPr="007E6754" w:rsidRDefault="007E6754" w:rsidP="00D402E5">
            <w:pPr>
              <w:shd w:val="clear" w:color="auto" w:fill="auto"/>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F039F7">
              <w:rPr>
                <w:rFonts w:eastAsia="Open Sans"/>
                <w:sz w:val="18"/>
                <w:szCs w:val="18"/>
                <w:lang w:val="fr-FR"/>
              </w:rPr>
              <w:t>4 (ou 6, lorsque la volonté du gouvernement infranational n</w:t>
            </w:r>
            <w:r>
              <w:rPr>
                <w:rFonts w:eastAsia="Open Sans"/>
                <w:sz w:val="18"/>
                <w:szCs w:val="18"/>
                <w:lang w:val="fr-FR"/>
              </w:rPr>
              <w:t>’</w:t>
            </w:r>
            <w:r w:rsidRPr="00F039F7">
              <w:rPr>
                <w:rFonts w:eastAsia="Open Sans"/>
                <w:sz w:val="18"/>
                <w:szCs w:val="18"/>
                <w:lang w:val="fr-FR"/>
              </w:rPr>
              <w:t>est pas évaluée)</w:t>
            </w:r>
          </w:p>
        </w:tc>
        <w:tc>
          <w:tcPr>
            <w:tcW w:w="2376" w:type="dxa"/>
            <w:shd w:val="clear" w:color="auto" w:fill="FFFFFF" w:themeFill="background1"/>
            <w:vAlign w:val="center"/>
          </w:tcPr>
          <w:p w14:paraId="01079CBD" w14:textId="79721475" w:rsidR="00BA5AC0" w:rsidRPr="00D402E5" w:rsidRDefault="007E6754" w:rsidP="00D402E5">
            <w:pPr>
              <w:shd w:val="clear" w:color="auto" w:fill="auto"/>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2 (ou 3, lorsque la volonté du gouvernement infranational n</w:t>
            </w:r>
            <w:r>
              <w:rPr>
                <w:rFonts w:eastAsia="Open Sans"/>
                <w:sz w:val="18"/>
                <w:szCs w:val="18"/>
                <w:lang w:val="fr-FR"/>
              </w:rPr>
              <w:t>’</w:t>
            </w:r>
            <w:r w:rsidRPr="00F039F7">
              <w:rPr>
                <w:rFonts w:eastAsia="Open Sans"/>
                <w:sz w:val="18"/>
                <w:szCs w:val="18"/>
                <w:lang w:val="fr-FR"/>
              </w:rPr>
              <w:t>est pas évaluée)</w:t>
            </w:r>
          </w:p>
        </w:tc>
        <w:tc>
          <w:tcPr>
            <w:tcW w:w="2376" w:type="dxa"/>
            <w:shd w:val="clear" w:color="auto" w:fill="FFFFFF" w:themeFill="background1"/>
            <w:vAlign w:val="center"/>
          </w:tcPr>
          <w:p w14:paraId="6EF22DC8" w14:textId="77228A58" w:rsidR="00BA5AC0" w:rsidRPr="00D402E5" w:rsidRDefault="00D402E5" w:rsidP="00D402E5">
            <w:pPr>
              <w:shd w:val="clear" w:color="auto" w:fill="auto"/>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BA5AC0" w:rsidRPr="00D402E5" w14:paraId="37B576C8" w14:textId="5BD33D2D" w:rsidTr="00EC702B">
        <w:tc>
          <w:tcPr>
            <w:cnfStyle w:val="001000000000" w:firstRow="0" w:lastRow="0" w:firstColumn="1" w:lastColumn="0" w:oddVBand="0" w:evenVBand="0" w:oddHBand="0" w:evenHBand="0" w:firstRowFirstColumn="0" w:firstRowLastColumn="0" w:lastRowFirstColumn="0" w:lastRowLastColumn="0"/>
            <w:tcW w:w="2376" w:type="dxa"/>
            <w:vAlign w:val="center"/>
          </w:tcPr>
          <w:p w14:paraId="11D50D81" w14:textId="43DDA009" w:rsidR="00BA5AC0" w:rsidRPr="00D402E5" w:rsidRDefault="007E6754" w:rsidP="00D402E5">
            <w:pPr>
              <w:shd w:val="clear" w:color="auto" w:fill="auto"/>
              <w:spacing w:before="0" w:after="0" w:line="240" w:lineRule="auto"/>
              <w:rPr>
                <w:b w:val="0"/>
                <w:bCs w:val="0"/>
                <w:sz w:val="18"/>
                <w:szCs w:val="18"/>
              </w:rPr>
            </w:pPr>
            <w:r w:rsidRPr="00F039F7">
              <w:rPr>
                <w:rFonts w:eastAsia="Open Sans"/>
                <w:b w:val="0"/>
                <w:bCs w:val="0"/>
                <w:sz w:val="18"/>
                <w:szCs w:val="18"/>
                <w:lang w:val="fr-FR"/>
              </w:rPr>
              <w:t>Volonté du gouvernement infranational</w:t>
            </w:r>
          </w:p>
        </w:tc>
        <w:tc>
          <w:tcPr>
            <w:tcW w:w="2376" w:type="dxa"/>
            <w:vAlign w:val="center"/>
          </w:tcPr>
          <w:p w14:paraId="3573D4BF" w14:textId="7A53DBAB" w:rsidR="00BA5AC0" w:rsidRPr="00D402E5" w:rsidRDefault="00D402E5" w:rsidP="00D402E5">
            <w:pPr>
              <w:shd w:val="clear" w:color="auto" w:fill="auto"/>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2376" w:type="dxa"/>
            <w:vAlign w:val="center"/>
          </w:tcPr>
          <w:p w14:paraId="622DACF0" w14:textId="7E1F34CA" w:rsidR="00BA5AC0" w:rsidRPr="00D402E5" w:rsidRDefault="00D402E5" w:rsidP="00D402E5">
            <w:pPr>
              <w:shd w:val="clear" w:color="auto" w:fill="auto"/>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2376" w:type="dxa"/>
            <w:vAlign w:val="center"/>
          </w:tcPr>
          <w:p w14:paraId="51DEDA5D" w14:textId="0322413E" w:rsidR="00BA5AC0" w:rsidRPr="00D402E5" w:rsidRDefault="00D402E5" w:rsidP="00D402E5">
            <w:pPr>
              <w:shd w:val="clear" w:color="auto" w:fill="auto"/>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D402E5" w:rsidRPr="00D402E5" w14:paraId="09B90C4C" w14:textId="6D6BF4A7" w:rsidTr="005F10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14:paraId="479AB6DD" w14:textId="2C5F129D" w:rsidR="00D402E5" w:rsidRPr="00D402E5" w:rsidRDefault="007E6754" w:rsidP="00D402E5">
            <w:pPr>
              <w:shd w:val="clear" w:color="auto" w:fill="auto"/>
              <w:spacing w:before="0" w:after="0" w:line="240" w:lineRule="auto"/>
              <w:rPr>
                <w:b w:val="0"/>
                <w:bCs w:val="0"/>
                <w:sz w:val="18"/>
                <w:szCs w:val="18"/>
              </w:rPr>
            </w:pPr>
            <w:r w:rsidRPr="00F039F7">
              <w:rPr>
                <w:rFonts w:eastAsia="Open Sans"/>
                <w:b w:val="0"/>
                <w:bCs w:val="0"/>
                <w:sz w:val="18"/>
                <w:szCs w:val="18"/>
                <w:lang w:val="fr-FR"/>
              </w:rPr>
              <w:t>Capacité</w:t>
            </w:r>
            <w:r>
              <w:rPr>
                <w:rFonts w:eastAsia="Open Sans"/>
                <w:b w:val="0"/>
                <w:bCs w:val="0"/>
                <w:sz w:val="18"/>
                <w:szCs w:val="18"/>
                <w:lang w:val="fr-FR"/>
              </w:rPr>
              <w:t xml:space="preserve"> du</w:t>
            </w:r>
            <w:r w:rsidRPr="00F039F7">
              <w:rPr>
                <w:rFonts w:eastAsia="Open Sans"/>
                <w:b w:val="0"/>
                <w:bCs w:val="0"/>
                <w:sz w:val="18"/>
                <w:szCs w:val="18"/>
                <w:lang w:val="fr-FR"/>
              </w:rPr>
              <w:t xml:space="preserve"> gouvernemen</w:t>
            </w:r>
            <w:r>
              <w:rPr>
                <w:rFonts w:eastAsia="Open Sans"/>
                <w:b w:val="0"/>
                <w:bCs w:val="0"/>
                <w:sz w:val="18"/>
                <w:szCs w:val="18"/>
                <w:lang w:val="fr-FR"/>
              </w:rPr>
              <w:t>t</w:t>
            </w:r>
          </w:p>
        </w:tc>
        <w:tc>
          <w:tcPr>
            <w:tcW w:w="2376" w:type="dxa"/>
            <w:shd w:val="clear" w:color="auto" w:fill="FFFFFF" w:themeFill="background1"/>
            <w:vAlign w:val="center"/>
          </w:tcPr>
          <w:p w14:paraId="15661ED2" w14:textId="51D82A49" w:rsidR="00D402E5" w:rsidRPr="00D402E5" w:rsidRDefault="00D402E5" w:rsidP="00D402E5">
            <w:pPr>
              <w:shd w:val="clear" w:color="auto" w:fill="auto"/>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2376" w:type="dxa"/>
            <w:shd w:val="clear" w:color="auto" w:fill="FFFFFF" w:themeFill="background1"/>
            <w:vAlign w:val="center"/>
          </w:tcPr>
          <w:p w14:paraId="5D52DF8E" w14:textId="0E392B63" w:rsidR="00D402E5" w:rsidRPr="00D402E5" w:rsidRDefault="00D402E5" w:rsidP="00D402E5">
            <w:pPr>
              <w:shd w:val="clear" w:color="auto" w:fill="auto"/>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c>
          <w:tcPr>
            <w:tcW w:w="2376" w:type="dxa"/>
            <w:shd w:val="clear" w:color="auto" w:fill="FFFFFF" w:themeFill="background1"/>
            <w:vAlign w:val="center"/>
          </w:tcPr>
          <w:p w14:paraId="6195A6D3" w14:textId="542D90F5" w:rsidR="00D402E5" w:rsidRPr="00D402E5" w:rsidRDefault="00D402E5" w:rsidP="00D402E5">
            <w:pPr>
              <w:shd w:val="clear" w:color="auto" w:fill="auto"/>
              <w:spacing w:before="0" w:after="0"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D402E5" w:rsidRPr="00D402E5" w14:paraId="79DA24F1" w14:textId="77777777" w:rsidTr="00C217E0">
        <w:trPr>
          <w:trHeight w:val="288"/>
        </w:trPr>
        <w:tc>
          <w:tcPr>
            <w:cnfStyle w:val="001000000000" w:firstRow="0" w:lastRow="0" w:firstColumn="1" w:lastColumn="0" w:oddVBand="0" w:evenVBand="0" w:oddHBand="0" w:evenHBand="0" w:firstRowFirstColumn="0" w:firstRowLastColumn="0" w:lastRowFirstColumn="0" w:lastRowLastColumn="0"/>
            <w:tcW w:w="2376" w:type="dxa"/>
          </w:tcPr>
          <w:p w14:paraId="0E7D6097" w14:textId="6F27CEC4" w:rsidR="00D402E5" w:rsidRPr="00D402E5" w:rsidRDefault="007E6754" w:rsidP="00D402E5">
            <w:pPr>
              <w:shd w:val="clear" w:color="auto" w:fill="auto"/>
              <w:spacing w:before="0" w:after="0" w:line="240" w:lineRule="auto"/>
              <w:rPr>
                <w:b w:val="0"/>
                <w:bCs w:val="0"/>
                <w:sz w:val="18"/>
                <w:szCs w:val="18"/>
              </w:rPr>
            </w:pPr>
            <w:r w:rsidRPr="00F039F7">
              <w:rPr>
                <w:rFonts w:eastAsia="Open Sans"/>
                <w:b w:val="0"/>
                <w:bCs w:val="0"/>
                <w:sz w:val="18"/>
                <w:szCs w:val="18"/>
                <w:lang w:val="fr-FR"/>
              </w:rPr>
              <w:t>Capacité des détenteurs de droits et de la société civile</w:t>
            </w:r>
          </w:p>
        </w:tc>
        <w:tc>
          <w:tcPr>
            <w:tcW w:w="2376" w:type="dxa"/>
            <w:vAlign w:val="center"/>
          </w:tcPr>
          <w:p w14:paraId="7AEF32D4" w14:textId="7FF0BEE4" w:rsidR="00D402E5" w:rsidRPr="00D402E5" w:rsidRDefault="00D402E5" w:rsidP="00D402E5">
            <w:pPr>
              <w:shd w:val="clear" w:color="auto" w:fill="auto"/>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2376" w:type="dxa"/>
            <w:vAlign w:val="center"/>
          </w:tcPr>
          <w:p w14:paraId="457DF523" w14:textId="42422E23" w:rsidR="00D402E5" w:rsidRPr="00D402E5" w:rsidRDefault="00D402E5" w:rsidP="00D402E5">
            <w:pPr>
              <w:shd w:val="clear" w:color="auto" w:fill="auto"/>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2376" w:type="dxa"/>
            <w:vAlign w:val="center"/>
          </w:tcPr>
          <w:p w14:paraId="0C321EF4" w14:textId="731EF200" w:rsidR="00D402E5" w:rsidRPr="00D402E5" w:rsidRDefault="00D402E5" w:rsidP="00D402E5">
            <w:pPr>
              <w:shd w:val="clear" w:color="auto" w:fill="auto"/>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bl>
    <w:bookmarkEnd w:id="12"/>
    <w:p w14:paraId="7861CE4C" w14:textId="1251E92E" w:rsidR="00D402E5" w:rsidRDefault="007E6754" w:rsidP="00BA5AC0">
      <w:r w:rsidRPr="00F039F7">
        <w:rPr>
          <w:rFonts w:eastAsia="Open Sans"/>
          <w:szCs w:val="20"/>
          <w:lang w:val="fr-FR"/>
        </w:rPr>
        <w:t>Une fois additionnées, les notes globales fournissent une indication sur l'état de préparation de chaque pays à la promulgation et à la mise en œuvre de réformes de</w:t>
      </w:r>
      <w:r>
        <w:rPr>
          <w:rFonts w:eastAsia="Open Sans"/>
          <w:szCs w:val="20"/>
          <w:lang w:val="fr-FR"/>
        </w:rPr>
        <w:t xml:space="preserve"> la</w:t>
      </w:r>
      <w:r w:rsidRPr="00F039F7">
        <w:rPr>
          <w:rFonts w:eastAsia="Open Sans"/>
          <w:szCs w:val="20"/>
          <w:lang w:val="fr-FR"/>
        </w:rPr>
        <w:t xml:space="preserve"> tenure forestière.</w:t>
      </w:r>
    </w:p>
    <w:p w14:paraId="32B1E5E9" w14:textId="77777777" w:rsidR="007E6754" w:rsidRDefault="007E6754" w:rsidP="00DA002E">
      <w:pPr>
        <w:pStyle w:val="Heading3"/>
        <w:rPr>
          <w:rFonts w:eastAsia="Open Sans"/>
          <w:bCs/>
          <w:szCs w:val="20"/>
          <w:lang w:val="fr-FR"/>
        </w:rPr>
      </w:pPr>
      <w:bookmarkStart w:id="13" w:name="_Toc89533348"/>
    </w:p>
    <w:p w14:paraId="0F3B9FA6" w14:textId="77777777" w:rsidR="007E6754" w:rsidRDefault="007E6754" w:rsidP="00DA002E">
      <w:pPr>
        <w:pStyle w:val="Heading3"/>
        <w:rPr>
          <w:rFonts w:eastAsia="Open Sans"/>
          <w:bCs/>
          <w:szCs w:val="20"/>
          <w:lang w:val="fr-FR"/>
        </w:rPr>
      </w:pPr>
    </w:p>
    <w:p w14:paraId="6498AC33" w14:textId="6DCDE79F" w:rsidR="008168E6" w:rsidRPr="00997E72" w:rsidRDefault="007E6754" w:rsidP="00DA002E">
      <w:pPr>
        <w:pStyle w:val="Heading3"/>
      </w:pPr>
      <w:bookmarkStart w:id="14" w:name="_Toc103688938"/>
      <w:r w:rsidRPr="00F039F7">
        <w:rPr>
          <w:rFonts w:eastAsia="Open Sans"/>
          <w:bCs/>
          <w:szCs w:val="20"/>
          <w:lang w:val="fr-FR"/>
        </w:rPr>
        <w:lastRenderedPageBreak/>
        <w:t>Tableau 3. État de préparation global</w:t>
      </w:r>
      <w:bookmarkEnd w:id="13"/>
      <w:bookmarkEnd w:id="14"/>
    </w:p>
    <w:tbl>
      <w:tblPr>
        <w:tblStyle w:val="RRI"/>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291"/>
        <w:gridCol w:w="3168"/>
      </w:tblGrid>
      <w:tr w:rsidR="008168E6" w:rsidRPr="00D76530" w14:paraId="165DBC28" w14:textId="2439AD49" w:rsidTr="007E675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4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01309CD" w14:textId="285A2C0B" w:rsidR="008168E6" w:rsidRPr="00D76530" w:rsidRDefault="007E6754" w:rsidP="008168E6">
            <w:pPr>
              <w:shd w:val="clear" w:color="auto" w:fill="auto"/>
              <w:spacing w:before="0" w:after="0"/>
              <w:jc w:val="center"/>
              <w:rPr>
                <w:color w:val="FFFFFF" w:themeColor="background1"/>
                <w:sz w:val="18"/>
                <w:szCs w:val="18"/>
              </w:rPr>
            </w:pPr>
            <w:r>
              <w:rPr>
                <w:color w:val="FFFFFF" w:themeColor="background1"/>
                <w:sz w:val="18"/>
                <w:szCs w:val="18"/>
              </w:rPr>
              <w:t>Note</w:t>
            </w:r>
          </w:p>
        </w:tc>
        <w:tc>
          <w:tcPr>
            <w:tcW w:w="229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56BDF2F" w14:textId="140AFB3A" w:rsidR="008168E6" w:rsidRPr="00D76530" w:rsidRDefault="008168E6" w:rsidP="008168E6">
            <w:pPr>
              <w:shd w:val="clear" w:color="auto" w:fill="auto"/>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D76530">
              <w:rPr>
                <w:color w:val="FFFFFF" w:themeColor="background1"/>
                <w:sz w:val="18"/>
                <w:szCs w:val="18"/>
              </w:rPr>
              <w:t>Co</w:t>
            </w:r>
            <w:r w:rsidR="007E6754">
              <w:rPr>
                <w:color w:val="FFFFFF" w:themeColor="background1"/>
                <w:sz w:val="18"/>
                <w:szCs w:val="18"/>
              </w:rPr>
              <w:t>u</w:t>
            </w:r>
            <w:r w:rsidRPr="00D76530">
              <w:rPr>
                <w:color w:val="FFFFFF" w:themeColor="background1"/>
                <w:sz w:val="18"/>
                <w:szCs w:val="18"/>
              </w:rPr>
              <w:t>l</w:t>
            </w:r>
            <w:r w:rsidR="007E6754">
              <w:rPr>
                <w:color w:val="FFFFFF" w:themeColor="background1"/>
                <w:sz w:val="18"/>
                <w:szCs w:val="18"/>
              </w:rPr>
              <w:t>eu</w:t>
            </w:r>
            <w:r w:rsidRPr="00D76530">
              <w:rPr>
                <w:color w:val="FFFFFF" w:themeColor="background1"/>
                <w:sz w:val="18"/>
                <w:szCs w:val="18"/>
              </w:rPr>
              <w:t>r</w:t>
            </w:r>
          </w:p>
        </w:tc>
        <w:tc>
          <w:tcPr>
            <w:tcW w:w="316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3B9914D" w14:textId="3224C49A" w:rsidR="008168E6" w:rsidRPr="00D76530" w:rsidRDefault="008610BC" w:rsidP="008168E6">
            <w:pPr>
              <w:shd w:val="clear" w:color="auto" w:fill="auto"/>
              <w:spacing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F039F7">
              <w:rPr>
                <w:rFonts w:eastAsia="Open Sans"/>
                <w:color w:val="FFFFFF"/>
                <w:sz w:val="18"/>
                <w:szCs w:val="18"/>
                <w:lang w:val="fr-FR"/>
              </w:rPr>
              <w:t>État de préparation</w:t>
            </w:r>
          </w:p>
        </w:tc>
      </w:tr>
      <w:tr w:rsidR="008168E6" w:rsidRPr="00D76530" w14:paraId="3AF89CC1" w14:textId="11081144" w:rsidTr="007E67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45" w:type="dxa"/>
            <w:shd w:val="clear" w:color="auto" w:fill="FFFFFF" w:themeFill="background1"/>
          </w:tcPr>
          <w:p w14:paraId="25081935" w14:textId="4CFD3F50" w:rsidR="008168E6" w:rsidRPr="00D76530" w:rsidRDefault="007E6754" w:rsidP="008168E6">
            <w:pPr>
              <w:shd w:val="clear" w:color="auto" w:fill="auto"/>
              <w:spacing w:before="0" w:after="0"/>
              <w:jc w:val="center"/>
              <w:rPr>
                <w:sz w:val="18"/>
                <w:szCs w:val="18"/>
              </w:rPr>
            </w:pPr>
            <w:r w:rsidRPr="00F039F7">
              <w:rPr>
                <w:rFonts w:eastAsia="Open Sans"/>
                <w:sz w:val="18"/>
                <w:szCs w:val="18"/>
                <w:lang w:val="fr-FR"/>
              </w:rPr>
              <w:t>Si la note totale est comprise entre 12-15</w:t>
            </w:r>
          </w:p>
        </w:tc>
        <w:tc>
          <w:tcPr>
            <w:tcW w:w="2291" w:type="dxa"/>
            <w:shd w:val="clear" w:color="auto" w:fill="2F833F"/>
          </w:tcPr>
          <w:p w14:paraId="42BBD574" w14:textId="01A5559D" w:rsidR="008168E6" w:rsidRPr="00D76530" w:rsidRDefault="008168E6" w:rsidP="008168E6">
            <w:pPr>
              <w:shd w:val="clear" w:color="auto" w:fill="auto"/>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68" w:type="dxa"/>
            <w:shd w:val="clear" w:color="auto" w:fill="FFFFFF" w:themeFill="background1"/>
          </w:tcPr>
          <w:p w14:paraId="7D8B0C74" w14:textId="599860AE" w:rsidR="008168E6" w:rsidRPr="00D76530" w:rsidRDefault="008610BC" w:rsidP="008168E6">
            <w:pPr>
              <w:shd w:val="clear" w:color="auto" w:fill="auto"/>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Satisfaisant</w:t>
            </w:r>
          </w:p>
        </w:tc>
      </w:tr>
      <w:tr w:rsidR="008168E6" w:rsidRPr="00D76530" w14:paraId="54A8740B" w14:textId="5A69CB87" w:rsidTr="007E6754">
        <w:trPr>
          <w:trHeight w:val="287"/>
        </w:trPr>
        <w:tc>
          <w:tcPr>
            <w:cnfStyle w:val="001000000000" w:firstRow="0" w:lastRow="0" w:firstColumn="1" w:lastColumn="0" w:oddVBand="0" w:evenVBand="0" w:oddHBand="0" w:evenHBand="0" w:firstRowFirstColumn="0" w:firstRowLastColumn="0" w:lastRowFirstColumn="0" w:lastRowLastColumn="0"/>
            <w:tcW w:w="4045" w:type="dxa"/>
          </w:tcPr>
          <w:p w14:paraId="6EA27B3E" w14:textId="3185EBA8" w:rsidR="008168E6" w:rsidRPr="00D76530" w:rsidRDefault="008610BC" w:rsidP="008168E6">
            <w:pPr>
              <w:shd w:val="clear" w:color="auto" w:fill="auto"/>
              <w:spacing w:before="0" w:after="0"/>
              <w:jc w:val="center"/>
              <w:rPr>
                <w:sz w:val="18"/>
                <w:szCs w:val="18"/>
              </w:rPr>
            </w:pPr>
            <w:r w:rsidRPr="00F039F7">
              <w:rPr>
                <w:rFonts w:eastAsia="Open Sans"/>
                <w:sz w:val="18"/>
                <w:szCs w:val="18"/>
                <w:lang w:val="fr-FR"/>
              </w:rPr>
              <w:t>Si la note totale est comprise entre 8-11</w:t>
            </w:r>
          </w:p>
        </w:tc>
        <w:tc>
          <w:tcPr>
            <w:tcW w:w="2291" w:type="dxa"/>
            <w:shd w:val="clear" w:color="auto" w:fill="73C167"/>
          </w:tcPr>
          <w:p w14:paraId="6A5EDF46" w14:textId="16739AC2" w:rsidR="008168E6" w:rsidRPr="00D76530" w:rsidRDefault="008168E6" w:rsidP="008168E6">
            <w:pPr>
              <w:shd w:val="clear" w:color="auto" w:fill="auto"/>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68" w:type="dxa"/>
          </w:tcPr>
          <w:p w14:paraId="27B1F0F5" w14:textId="23B38B54" w:rsidR="008168E6" w:rsidRPr="00D76530" w:rsidRDefault="008610BC" w:rsidP="008168E6">
            <w:pPr>
              <w:shd w:val="clear" w:color="auto" w:fill="auto"/>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F039F7">
              <w:rPr>
                <w:rFonts w:eastAsia="Open Sans"/>
                <w:sz w:val="18"/>
                <w:szCs w:val="18"/>
                <w:lang w:val="fr-FR"/>
              </w:rPr>
              <w:t>Partiellement satisfaisant</w:t>
            </w:r>
          </w:p>
        </w:tc>
      </w:tr>
      <w:tr w:rsidR="008168E6" w:rsidRPr="00D76530" w14:paraId="1567ACB4" w14:textId="7075A498" w:rsidTr="007E675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45" w:type="dxa"/>
            <w:shd w:val="clear" w:color="auto" w:fill="FFFFFF" w:themeFill="background1"/>
          </w:tcPr>
          <w:p w14:paraId="5D78AE40" w14:textId="39F48FEC" w:rsidR="008168E6" w:rsidRPr="00D76530" w:rsidRDefault="008610BC" w:rsidP="008168E6">
            <w:pPr>
              <w:shd w:val="clear" w:color="auto" w:fill="auto"/>
              <w:spacing w:before="0" w:after="0"/>
              <w:jc w:val="center"/>
              <w:rPr>
                <w:sz w:val="18"/>
                <w:szCs w:val="18"/>
              </w:rPr>
            </w:pPr>
            <w:r w:rsidRPr="00F039F7">
              <w:rPr>
                <w:rFonts w:eastAsia="Open Sans"/>
                <w:sz w:val="18"/>
                <w:szCs w:val="18"/>
                <w:lang w:val="fr-FR"/>
              </w:rPr>
              <w:t>Si la note totale est comprise entre 0-7</w:t>
            </w:r>
          </w:p>
        </w:tc>
        <w:tc>
          <w:tcPr>
            <w:tcW w:w="2291" w:type="dxa"/>
            <w:shd w:val="clear" w:color="auto" w:fill="DDECD9"/>
          </w:tcPr>
          <w:p w14:paraId="79C1A86F" w14:textId="1308D974" w:rsidR="008168E6" w:rsidRPr="00D76530" w:rsidRDefault="008168E6" w:rsidP="008168E6">
            <w:pPr>
              <w:shd w:val="clear" w:color="auto" w:fill="auto"/>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68" w:type="dxa"/>
            <w:shd w:val="clear" w:color="auto" w:fill="FFFFFF" w:themeFill="background1"/>
          </w:tcPr>
          <w:p w14:paraId="6C3840E5" w14:textId="451CB3B0" w:rsidR="008168E6" w:rsidRPr="00D76530" w:rsidRDefault="008610BC" w:rsidP="008168E6">
            <w:pPr>
              <w:shd w:val="clear" w:color="auto" w:fill="auto"/>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F039F7">
              <w:rPr>
                <w:rFonts w:eastAsia="Open Sans"/>
                <w:sz w:val="18"/>
                <w:szCs w:val="18"/>
                <w:lang w:val="fr-FR"/>
              </w:rPr>
              <w:t>Insatisfaisant</w:t>
            </w:r>
          </w:p>
        </w:tc>
      </w:tr>
    </w:tbl>
    <w:p w14:paraId="312E1133" w14:textId="29F75AB5" w:rsidR="00326996" w:rsidRDefault="00326996">
      <w:pPr>
        <w:shd w:val="clear" w:color="auto" w:fill="auto"/>
        <w:spacing w:before="0" w:after="160" w:line="259" w:lineRule="auto"/>
        <w:rPr>
          <w:rFonts w:ascii="Open Sans Semibold" w:hAnsi="Open Sans Semibold" w:cs="Open Sans Semibold"/>
          <w:color w:val="49A146"/>
          <w:sz w:val="24"/>
        </w:rPr>
      </w:pPr>
    </w:p>
    <w:p w14:paraId="71EE933C" w14:textId="5B045E4E" w:rsidR="00D76530" w:rsidRPr="00D76530" w:rsidRDefault="008610BC" w:rsidP="00DA002E">
      <w:pPr>
        <w:pStyle w:val="Heading1"/>
      </w:pPr>
      <w:bookmarkStart w:id="15" w:name="_Toc89533349"/>
      <w:bookmarkStart w:id="16" w:name="_Toc103688939"/>
      <w:r w:rsidRPr="00F039F7">
        <w:rPr>
          <w:rFonts w:eastAsia="Open Sans Semibold"/>
          <w:szCs w:val="24"/>
          <w:lang w:val="fr-FR"/>
        </w:rPr>
        <w:t>Conclusions</w:t>
      </w:r>
      <w:bookmarkEnd w:id="15"/>
      <w:bookmarkEnd w:id="16"/>
    </w:p>
    <w:p w14:paraId="28F50C12" w14:textId="77777777" w:rsidR="008610BC" w:rsidRPr="00F039F7" w:rsidRDefault="008610BC" w:rsidP="008610BC">
      <w:pPr>
        <w:jc w:val="both"/>
        <w:rPr>
          <w:lang w:val="fr-FR"/>
        </w:rPr>
      </w:pPr>
      <w:r w:rsidRPr="00F039F7">
        <w:rPr>
          <w:rFonts w:eastAsia="Open Sans"/>
          <w:szCs w:val="20"/>
          <w:lang w:val="fr-FR"/>
        </w:rPr>
        <w:t xml:space="preserve">Quatorze des 20 pays référencés dans ce supplément ont été inclus dans le champ des évaluations initiales du </w:t>
      </w:r>
      <w:r>
        <w:rPr>
          <w:rFonts w:eastAsia="Open Sans"/>
          <w:szCs w:val="20"/>
          <w:lang w:val="fr-FR"/>
        </w:rPr>
        <w:t>C</w:t>
      </w:r>
      <w:r w:rsidRPr="00F039F7">
        <w:rPr>
          <w:rFonts w:eastAsia="Open Sans"/>
          <w:szCs w:val="20"/>
          <w:lang w:val="fr-FR"/>
        </w:rPr>
        <w:t xml:space="preserve">adre de travail sur les opportunités menées en 2019-2020. Ces évaluations ont été faites à l'origine sur la base d'un questionnaire envoyé aux experts en tenure et aux membres de la coalition RRI ayant une expérience dans chacun des pays, suivi par des réunions de consultation d'experts régionaux et mondiaux supplémentaires. De plus amples informations sur ce processus et les évaluations initiales du </w:t>
      </w:r>
      <w:r>
        <w:rPr>
          <w:rFonts w:eastAsia="Open Sans"/>
          <w:szCs w:val="20"/>
          <w:lang w:val="fr-FR"/>
        </w:rPr>
        <w:t>C</w:t>
      </w:r>
      <w:r w:rsidRPr="00F039F7">
        <w:rPr>
          <w:rFonts w:eastAsia="Open Sans"/>
          <w:szCs w:val="20"/>
          <w:lang w:val="fr-FR"/>
        </w:rPr>
        <w:t xml:space="preserve">adre de travail sur les opportunités sont fournies dans le rapport 2020. Ces évaluations ont été réexaminées en 2021 pour tenir compte des changements notables </w:t>
      </w:r>
      <w:r>
        <w:rPr>
          <w:rFonts w:eastAsia="Open Sans"/>
          <w:szCs w:val="20"/>
          <w:lang w:val="fr-FR"/>
        </w:rPr>
        <w:t xml:space="preserve">dans les environnements </w:t>
      </w:r>
      <w:r w:rsidRPr="00F039F7">
        <w:rPr>
          <w:rFonts w:eastAsia="Open Sans"/>
          <w:szCs w:val="20"/>
          <w:lang w:val="fr-FR"/>
        </w:rPr>
        <w:t>juridique</w:t>
      </w:r>
      <w:r>
        <w:rPr>
          <w:rFonts w:eastAsia="Open Sans"/>
          <w:szCs w:val="20"/>
          <w:lang w:val="fr-FR"/>
        </w:rPr>
        <w:t>s</w:t>
      </w:r>
      <w:r w:rsidRPr="00F039F7">
        <w:rPr>
          <w:rFonts w:eastAsia="Open Sans"/>
          <w:szCs w:val="20"/>
          <w:lang w:val="fr-FR"/>
        </w:rPr>
        <w:t xml:space="preserve"> ou politique</w:t>
      </w:r>
      <w:r>
        <w:rPr>
          <w:rFonts w:eastAsia="Open Sans"/>
          <w:szCs w:val="20"/>
          <w:lang w:val="fr-FR"/>
        </w:rPr>
        <w:t>s</w:t>
      </w:r>
      <w:r w:rsidRPr="00F039F7">
        <w:rPr>
          <w:rFonts w:eastAsia="Open Sans"/>
          <w:szCs w:val="20"/>
          <w:lang w:val="fr-FR"/>
        </w:rPr>
        <w:t>.</w:t>
      </w:r>
    </w:p>
    <w:p w14:paraId="5BDCC430" w14:textId="77777777" w:rsidR="008610BC" w:rsidRPr="00F039F7" w:rsidRDefault="008610BC" w:rsidP="008610BC">
      <w:pPr>
        <w:jc w:val="both"/>
        <w:rPr>
          <w:lang w:val="fr-FR"/>
        </w:rPr>
      </w:pPr>
      <w:r w:rsidRPr="00F039F7">
        <w:rPr>
          <w:rFonts w:eastAsia="Open Sans"/>
          <w:szCs w:val="20"/>
          <w:lang w:val="fr-FR"/>
        </w:rPr>
        <w:t xml:space="preserve">En 2021, des évaluations du </w:t>
      </w:r>
      <w:r>
        <w:rPr>
          <w:rFonts w:eastAsia="Open Sans"/>
          <w:szCs w:val="20"/>
          <w:lang w:val="fr-FR"/>
        </w:rPr>
        <w:t>C</w:t>
      </w:r>
      <w:r w:rsidRPr="00F039F7">
        <w:rPr>
          <w:rFonts w:eastAsia="Open Sans"/>
          <w:szCs w:val="20"/>
          <w:lang w:val="fr-FR"/>
        </w:rPr>
        <w:t xml:space="preserve">adre de travail sur les opportunités ont également été réalisées pour six nouvelles juridictions où le GATC compte des membres : </w:t>
      </w:r>
      <w:r w:rsidRPr="00F039F7">
        <w:rPr>
          <w:rFonts w:eastAsia="Open Sans"/>
          <w:i/>
          <w:iCs/>
          <w:szCs w:val="20"/>
          <w:lang w:val="fr-FR"/>
        </w:rPr>
        <w:t>Costa Rica, Équateur, Guyane française (France),</w:t>
      </w:r>
      <w:r w:rsidRPr="00F039F7">
        <w:rPr>
          <w:rStyle w:val="FootnoteReference"/>
          <w:i/>
          <w:iCs/>
          <w:lang w:val="fr-FR"/>
        </w:rPr>
        <w:footnoteReference w:id="3"/>
      </w:r>
      <w:r w:rsidRPr="00F039F7">
        <w:rPr>
          <w:rFonts w:eastAsia="Open Sans"/>
          <w:i/>
          <w:iCs/>
          <w:szCs w:val="20"/>
          <w:lang w:val="fr-FR"/>
        </w:rPr>
        <w:t xml:space="preserve"> Honduras, Nicaragua et Panama</w:t>
      </w:r>
      <w:r w:rsidRPr="00F039F7">
        <w:rPr>
          <w:rFonts w:eastAsia="Open Sans"/>
          <w:szCs w:val="20"/>
          <w:lang w:val="fr-FR"/>
        </w:rPr>
        <w:t xml:space="preserve">. Les évaluations pour ces pays s'appuient sur diverses sources. </w:t>
      </w:r>
    </w:p>
    <w:p w14:paraId="4759F7DE" w14:textId="3F5F4160" w:rsidR="00D76530" w:rsidRDefault="008610BC" w:rsidP="008610BC">
      <w:r w:rsidRPr="00F039F7">
        <w:rPr>
          <w:rFonts w:eastAsia="Open Sans"/>
          <w:szCs w:val="20"/>
          <w:lang w:val="fr-FR"/>
        </w:rPr>
        <w:t>Les évaluations de l'état de préparation des 20 pays à partir de 2021 sont résumées dans le tableau 4.</w:t>
      </w:r>
    </w:p>
    <w:p w14:paraId="6186DCA2" w14:textId="6F8CA293" w:rsidR="00D76530" w:rsidRPr="00997E72" w:rsidRDefault="008610BC" w:rsidP="00DA002E">
      <w:pPr>
        <w:pStyle w:val="Heading3"/>
      </w:pPr>
      <w:bookmarkStart w:id="17" w:name="_Toc89533350"/>
      <w:bookmarkStart w:id="18" w:name="_Toc103688940"/>
      <w:r w:rsidRPr="00F039F7">
        <w:rPr>
          <w:rFonts w:eastAsia="Open Sans"/>
          <w:bCs/>
          <w:szCs w:val="20"/>
          <w:lang w:val="fr-FR"/>
        </w:rPr>
        <w:t xml:space="preserve">Tableau 4. Évaluations du </w:t>
      </w:r>
      <w:r>
        <w:rPr>
          <w:rFonts w:eastAsia="Open Sans"/>
          <w:bCs/>
          <w:szCs w:val="20"/>
          <w:lang w:val="fr-FR"/>
        </w:rPr>
        <w:t>C</w:t>
      </w:r>
      <w:r w:rsidRPr="00F039F7">
        <w:rPr>
          <w:rFonts w:eastAsia="Open Sans"/>
          <w:bCs/>
          <w:szCs w:val="20"/>
          <w:lang w:val="fr-FR"/>
        </w:rPr>
        <w:t>adre de travail sur les opportunités 2021 pour 20 pays membres du GATC</w:t>
      </w:r>
      <w:bookmarkEnd w:id="17"/>
      <w:bookmarkEnd w:id="18"/>
    </w:p>
    <w:tbl>
      <w:tblPr>
        <w:tblStyle w:val="TableGrid"/>
        <w:tblW w:w="0" w:type="auto"/>
        <w:tblLook w:val="04A0" w:firstRow="1" w:lastRow="0" w:firstColumn="1" w:lastColumn="0" w:noHBand="0" w:noVBand="1"/>
      </w:tblPr>
      <w:tblGrid>
        <w:gridCol w:w="1263"/>
        <w:gridCol w:w="1189"/>
        <w:gridCol w:w="1395"/>
        <w:gridCol w:w="1395"/>
        <w:gridCol w:w="1395"/>
        <w:gridCol w:w="1315"/>
        <w:gridCol w:w="1398"/>
      </w:tblGrid>
      <w:tr w:rsidR="00201CB9" w:rsidRPr="0014428C" w14:paraId="40454B8F" w14:textId="77777777" w:rsidTr="00563513">
        <w:trPr>
          <w:trHeight w:val="350"/>
        </w:trPr>
        <w:tc>
          <w:tcPr>
            <w:tcW w:w="1256" w:type="dxa"/>
            <w:shd w:val="clear" w:color="auto" w:fill="415A68"/>
            <w:vAlign w:val="center"/>
          </w:tcPr>
          <w:p w14:paraId="0DCB1CA7" w14:textId="22F6B5EB" w:rsidR="00741926" w:rsidRPr="0014428C" w:rsidRDefault="008610BC" w:rsidP="00563513">
            <w:pPr>
              <w:shd w:val="clear" w:color="auto" w:fill="auto"/>
              <w:spacing w:before="0" w:after="0"/>
              <w:rPr>
                <w:b/>
                <w:bCs/>
                <w:color w:val="FFFFFF" w:themeColor="background1"/>
                <w:sz w:val="16"/>
                <w:szCs w:val="16"/>
              </w:rPr>
            </w:pPr>
            <w:r w:rsidRPr="0014428C">
              <w:rPr>
                <w:rFonts w:eastAsia="Open Sans"/>
                <w:b/>
                <w:bCs/>
                <w:color w:val="FFFFFF"/>
                <w:sz w:val="16"/>
                <w:szCs w:val="16"/>
                <w:lang w:val="fr-FR"/>
              </w:rPr>
              <w:t>Pays</w:t>
            </w:r>
          </w:p>
        </w:tc>
        <w:tc>
          <w:tcPr>
            <w:tcW w:w="1248" w:type="dxa"/>
            <w:shd w:val="clear" w:color="auto" w:fill="415A68"/>
            <w:vAlign w:val="center"/>
          </w:tcPr>
          <w:p w14:paraId="11A7D406" w14:textId="176FBF62" w:rsidR="00741926" w:rsidRPr="0014428C" w:rsidRDefault="008610BC" w:rsidP="00563513">
            <w:pPr>
              <w:shd w:val="clear" w:color="auto" w:fill="auto"/>
              <w:spacing w:before="0" w:after="0"/>
              <w:jc w:val="center"/>
              <w:rPr>
                <w:b/>
                <w:bCs/>
                <w:color w:val="FFFFFF" w:themeColor="background1"/>
                <w:sz w:val="16"/>
                <w:szCs w:val="16"/>
              </w:rPr>
            </w:pPr>
            <w:r w:rsidRPr="0014428C">
              <w:rPr>
                <w:rFonts w:eastAsia="Open Sans"/>
                <w:b/>
                <w:bCs/>
                <w:color w:val="FFFFFF"/>
                <w:sz w:val="16"/>
                <w:szCs w:val="16"/>
                <w:lang w:val="fr-FR"/>
              </w:rPr>
              <w:t>Cadre juridique</w:t>
            </w:r>
          </w:p>
        </w:tc>
        <w:tc>
          <w:tcPr>
            <w:tcW w:w="1347" w:type="dxa"/>
            <w:shd w:val="clear" w:color="auto" w:fill="415A68"/>
            <w:vAlign w:val="center"/>
          </w:tcPr>
          <w:p w14:paraId="10B2FB25" w14:textId="62959EAC" w:rsidR="00741926" w:rsidRPr="0014428C" w:rsidRDefault="008610BC" w:rsidP="00563513">
            <w:pPr>
              <w:shd w:val="clear" w:color="auto" w:fill="auto"/>
              <w:spacing w:before="0" w:after="0"/>
              <w:jc w:val="center"/>
              <w:rPr>
                <w:b/>
                <w:bCs/>
                <w:color w:val="FFFFFF" w:themeColor="background1"/>
                <w:sz w:val="16"/>
                <w:szCs w:val="16"/>
              </w:rPr>
            </w:pPr>
            <w:r w:rsidRPr="0014428C">
              <w:rPr>
                <w:rFonts w:eastAsia="Open Sans"/>
                <w:b/>
                <w:bCs/>
                <w:color w:val="FFFFFF"/>
                <w:sz w:val="16"/>
                <w:szCs w:val="16"/>
                <w:lang w:val="fr-FR"/>
              </w:rPr>
              <w:t>Volonté du gouvernement national</w:t>
            </w:r>
          </w:p>
        </w:tc>
        <w:tc>
          <w:tcPr>
            <w:tcW w:w="1347" w:type="dxa"/>
            <w:shd w:val="clear" w:color="auto" w:fill="415A68"/>
            <w:vAlign w:val="center"/>
          </w:tcPr>
          <w:p w14:paraId="370B5F0D" w14:textId="2EFE965E" w:rsidR="00741926" w:rsidRPr="0014428C" w:rsidRDefault="008610BC" w:rsidP="00563513">
            <w:pPr>
              <w:shd w:val="clear" w:color="auto" w:fill="auto"/>
              <w:spacing w:before="0" w:after="0"/>
              <w:jc w:val="center"/>
              <w:rPr>
                <w:b/>
                <w:bCs/>
                <w:color w:val="FFFFFF" w:themeColor="background1"/>
                <w:sz w:val="16"/>
                <w:szCs w:val="16"/>
              </w:rPr>
            </w:pPr>
            <w:r w:rsidRPr="0014428C">
              <w:rPr>
                <w:rFonts w:eastAsia="Open Sans"/>
                <w:b/>
                <w:bCs/>
                <w:color w:val="FFFFFF"/>
                <w:sz w:val="16"/>
                <w:szCs w:val="16"/>
                <w:lang w:val="fr-FR"/>
              </w:rPr>
              <w:t>Volonté du gouvernement infranational</w:t>
            </w:r>
          </w:p>
        </w:tc>
        <w:tc>
          <w:tcPr>
            <w:tcW w:w="1347" w:type="dxa"/>
            <w:shd w:val="clear" w:color="auto" w:fill="415A68"/>
            <w:vAlign w:val="center"/>
          </w:tcPr>
          <w:p w14:paraId="1A09C528" w14:textId="39DCA17F" w:rsidR="00741926" w:rsidRPr="0014428C" w:rsidRDefault="008610BC" w:rsidP="00563513">
            <w:pPr>
              <w:shd w:val="clear" w:color="auto" w:fill="auto"/>
              <w:spacing w:before="0" w:after="0"/>
              <w:jc w:val="center"/>
              <w:rPr>
                <w:b/>
                <w:bCs/>
                <w:color w:val="FFFFFF" w:themeColor="background1"/>
                <w:sz w:val="16"/>
                <w:szCs w:val="16"/>
              </w:rPr>
            </w:pPr>
            <w:r w:rsidRPr="0014428C">
              <w:rPr>
                <w:rFonts w:eastAsia="Open Sans"/>
                <w:b/>
                <w:bCs/>
                <w:color w:val="FFFFFF"/>
                <w:sz w:val="16"/>
                <w:szCs w:val="16"/>
                <w:lang w:val="fr-FR"/>
              </w:rPr>
              <w:t>Capacité du gouvernement</w:t>
            </w:r>
          </w:p>
        </w:tc>
        <w:tc>
          <w:tcPr>
            <w:tcW w:w="1365" w:type="dxa"/>
            <w:shd w:val="clear" w:color="auto" w:fill="415A68"/>
            <w:vAlign w:val="center"/>
          </w:tcPr>
          <w:p w14:paraId="28B4BEA7" w14:textId="71F402B7" w:rsidR="00741926" w:rsidRPr="0014428C" w:rsidRDefault="008610BC" w:rsidP="00563513">
            <w:pPr>
              <w:shd w:val="clear" w:color="auto" w:fill="auto"/>
              <w:spacing w:before="0" w:after="0"/>
              <w:jc w:val="center"/>
              <w:rPr>
                <w:b/>
                <w:bCs/>
                <w:color w:val="FFFFFF" w:themeColor="background1"/>
                <w:sz w:val="16"/>
                <w:szCs w:val="16"/>
              </w:rPr>
            </w:pPr>
            <w:r w:rsidRPr="0014428C">
              <w:rPr>
                <w:rFonts w:eastAsia="Open Sans"/>
                <w:b/>
                <w:bCs/>
                <w:color w:val="FFFFFF"/>
                <w:sz w:val="16"/>
                <w:szCs w:val="16"/>
                <w:lang w:val="fr-FR"/>
              </w:rPr>
              <w:t>Capacité des détenteurs de droits et de la société civile</w:t>
            </w:r>
          </w:p>
        </w:tc>
        <w:tc>
          <w:tcPr>
            <w:tcW w:w="1440" w:type="dxa"/>
            <w:shd w:val="clear" w:color="auto" w:fill="415A68"/>
            <w:vAlign w:val="center"/>
          </w:tcPr>
          <w:p w14:paraId="4416F86D" w14:textId="0606307A" w:rsidR="00741926" w:rsidRPr="0014428C" w:rsidRDefault="008610BC" w:rsidP="00563513">
            <w:pPr>
              <w:shd w:val="clear" w:color="auto" w:fill="auto"/>
              <w:spacing w:before="0" w:after="0"/>
              <w:jc w:val="center"/>
              <w:rPr>
                <w:b/>
                <w:bCs/>
                <w:color w:val="FFFFFF" w:themeColor="background1"/>
                <w:sz w:val="16"/>
                <w:szCs w:val="16"/>
              </w:rPr>
            </w:pPr>
            <w:r w:rsidRPr="0014428C">
              <w:rPr>
                <w:rFonts w:eastAsia="Open Sans"/>
                <w:b/>
                <w:bCs/>
                <w:color w:val="FFFFFF"/>
                <w:sz w:val="16"/>
                <w:szCs w:val="16"/>
                <w:lang w:val="fr-FR"/>
              </w:rPr>
              <w:t>Évaluation globale</w:t>
            </w:r>
          </w:p>
        </w:tc>
      </w:tr>
      <w:tr w:rsidR="00201CB9" w:rsidRPr="0014428C" w14:paraId="0E0C5BF1" w14:textId="77777777" w:rsidTr="00A56A4E">
        <w:trPr>
          <w:trHeight w:val="288"/>
        </w:trPr>
        <w:tc>
          <w:tcPr>
            <w:tcW w:w="0" w:type="dxa"/>
            <w:vAlign w:val="center"/>
          </w:tcPr>
          <w:p w14:paraId="3D707E3F" w14:textId="29F4972A" w:rsidR="00741926" w:rsidRPr="0014428C" w:rsidRDefault="008610BC" w:rsidP="00563513">
            <w:pPr>
              <w:shd w:val="clear" w:color="auto" w:fill="auto"/>
              <w:spacing w:before="0" w:after="0"/>
              <w:rPr>
                <w:color w:val="000000" w:themeColor="text1"/>
                <w:sz w:val="16"/>
                <w:szCs w:val="16"/>
              </w:rPr>
            </w:pPr>
            <w:r w:rsidRPr="0014428C">
              <w:rPr>
                <w:rFonts w:eastAsia="Open Sans"/>
                <w:color w:val="000000"/>
                <w:sz w:val="16"/>
                <w:szCs w:val="16"/>
                <w:lang w:val="fr-FR"/>
              </w:rPr>
              <w:t>Bolivie</w:t>
            </w:r>
          </w:p>
        </w:tc>
        <w:tc>
          <w:tcPr>
            <w:tcW w:w="0" w:type="dxa"/>
            <w:shd w:val="clear" w:color="auto" w:fill="49A178"/>
            <w:vAlign w:val="center"/>
          </w:tcPr>
          <w:p w14:paraId="674662F9" w14:textId="6DA4B4EF" w:rsidR="00741926" w:rsidRPr="0014428C" w:rsidRDefault="00741926" w:rsidP="00A76903">
            <w:pPr>
              <w:shd w:val="clear" w:color="auto" w:fill="auto"/>
              <w:spacing w:before="0" w:after="0" w:line="240" w:lineRule="auto"/>
              <w:jc w:val="center"/>
              <w:rPr>
                <w:color w:val="000000" w:themeColor="text1"/>
                <w:sz w:val="16"/>
                <w:szCs w:val="16"/>
              </w:rPr>
            </w:pPr>
            <w:r w:rsidRPr="0014428C">
              <w:rPr>
                <w:color w:val="000000" w:themeColor="text1"/>
                <w:sz w:val="16"/>
                <w:szCs w:val="16"/>
              </w:rPr>
              <w:t>5</w:t>
            </w:r>
          </w:p>
        </w:tc>
        <w:tc>
          <w:tcPr>
            <w:tcW w:w="0" w:type="dxa"/>
            <w:shd w:val="clear" w:color="auto" w:fill="FFD966" w:themeFill="accent4" w:themeFillTint="99"/>
            <w:vAlign w:val="center"/>
          </w:tcPr>
          <w:p w14:paraId="2B30DE2A" w14:textId="62BE2E0F"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AFD08D"/>
            <w:vAlign w:val="center"/>
          </w:tcPr>
          <w:p w14:paraId="1F1D6186" w14:textId="34F9E252"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5D0C969E" w14:textId="716C3AB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49A178"/>
            <w:vAlign w:val="center"/>
          </w:tcPr>
          <w:p w14:paraId="3DD94BD7" w14:textId="6015003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73C167"/>
            <w:vAlign w:val="center"/>
          </w:tcPr>
          <w:p w14:paraId="1FA813CD" w14:textId="2360B516" w:rsidR="00741926" w:rsidRPr="0014428C" w:rsidRDefault="008610B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Partiellement satisfaisant (9)</w:t>
            </w:r>
          </w:p>
        </w:tc>
      </w:tr>
      <w:tr w:rsidR="00201CB9" w:rsidRPr="0014428C" w14:paraId="0B474AAF" w14:textId="77777777" w:rsidTr="00A56A4E">
        <w:trPr>
          <w:trHeight w:val="287"/>
        </w:trPr>
        <w:tc>
          <w:tcPr>
            <w:tcW w:w="0" w:type="dxa"/>
            <w:vAlign w:val="center"/>
          </w:tcPr>
          <w:p w14:paraId="0B2FF66F" w14:textId="0B449E05" w:rsidR="00741926" w:rsidRPr="0014428C" w:rsidRDefault="008610BC" w:rsidP="00563513">
            <w:pPr>
              <w:shd w:val="clear" w:color="auto" w:fill="auto"/>
              <w:spacing w:before="0" w:after="0"/>
              <w:rPr>
                <w:color w:val="000000" w:themeColor="text1"/>
                <w:sz w:val="16"/>
                <w:szCs w:val="16"/>
              </w:rPr>
            </w:pPr>
            <w:r w:rsidRPr="0014428C">
              <w:rPr>
                <w:rFonts w:eastAsia="Open Sans"/>
                <w:color w:val="000000"/>
                <w:sz w:val="16"/>
                <w:szCs w:val="16"/>
                <w:lang w:val="fr-FR"/>
              </w:rPr>
              <w:t>Brésil</w:t>
            </w:r>
          </w:p>
        </w:tc>
        <w:tc>
          <w:tcPr>
            <w:tcW w:w="0" w:type="dxa"/>
            <w:shd w:val="clear" w:color="auto" w:fill="49A178"/>
            <w:vAlign w:val="center"/>
          </w:tcPr>
          <w:p w14:paraId="1BF34936" w14:textId="7485DFB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5</w:t>
            </w:r>
          </w:p>
        </w:tc>
        <w:tc>
          <w:tcPr>
            <w:tcW w:w="0" w:type="dxa"/>
            <w:shd w:val="clear" w:color="auto" w:fill="FFD966" w:themeFill="accent4" w:themeFillTint="99"/>
            <w:vAlign w:val="center"/>
          </w:tcPr>
          <w:p w14:paraId="666E5F45" w14:textId="4EE400A3"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AFD08D"/>
            <w:vAlign w:val="center"/>
          </w:tcPr>
          <w:p w14:paraId="51CC9C07" w14:textId="1BF95DFC"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49A178"/>
            <w:vAlign w:val="center"/>
          </w:tcPr>
          <w:p w14:paraId="2971AAE6" w14:textId="48974E2F"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49A178"/>
            <w:vAlign w:val="center"/>
          </w:tcPr>
          <w:p w14:paraId="1C6A4194" w14:textId="6F9F3F68"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73C167"/>
            <w:vAlign w:val="center"/>
          </w:tcPr>
          <w:p w14:paraId="4A0DB78C" w14:textId="6E4F4CA3" w:rsidR="00741926" w:rsidRPr="0014428C" w:rsidRDefault="00A16F2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Partiellement satisfaisant (10)</w:t>
            </w:r>
          </w:p>
        </w:tc>
      </w:tr>
      <w:tr w:rsidR="00201CB9" w:rsidRPr="0014428C" w14:paraId="7C65A482" w14:textId="77777777" w:rsidTr="00A56A4E">
        <w:trPr>
          <w:trHeight w:val="278"/>
        </w:trPr>
        <w:tc>
          <w:tcPr>
            <w:tcW w:w="0" w:type="dxa"/>
            <w:vAlign w:val="center"/>
          </w:tcPr>
          <w:p w14:paraId="4908C05D" w14:textId="67368540" w:rsidR="00741926" w:rsidRPr="0014428C" w:rsidRDefault="008610BC" w:rsidP="00563513">
            <w:pPr>
              <w:shd w:val="clear" w:color="auto" w:fill="auto"/>
              <w:spacing w:before="0" w:after="0"/>
              <w:rPr>
                <w:color w:val="000000" w:themeColor="text1"/>
                <w:sz w:val="16"/>
                <w:szCs w:val="16"/>
              </w:rPr>
            </w:pPr>
            <w:r w:rsidRPr="0014428C">
              <w:rPr>
                <w:rFonts w:eastAsia="Open Sans"/>
                <w:color w:val="000000"/>
                <w:sz w:val="16"/>
                <w:szCs w:val="16"/>
                <w:lang w:val="fr-FR"/>
              </w:rPr>
              <w:t>Cameroun</w:t>
            </w:r>
          </w:p>
        </w:tc>
        <w:tc>
          <w:tcPr>
            <w:tcW w:w="0" w:type="dxa"/>
            <w:shd w:val="clear" w:color="auto" w:fill="AFD08D"/>
            <w:vAlign w:val="center"/>
          </w:tcPr>
          <w:p w14:paraId="0FA92360" w14:textId="676F6230"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shd w:val="clear" w:color="auto" w:fill="AFD08D"/>
            <w:vAlign w:val="center"/>
          </w:tcPr>
          <w:p w14:paraId="329522C2" w14:textId="3716BE1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AFD08D"/>
            <w:vAlign w:val="center"/>
          </w:tcPr>
          <w:p w14:paraId="30181D7E" w14:textId="7E86DBA8"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4AD6A997" w14:textId="16A5A66F"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49A178"/>
            <w:vAlign w:val="center"/>
          </w:tcPr>
          <w:p w14:paraId="685A969C" w14:textId="6BEEA11A"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73C167"/>
            <w:vAlign w:val="center"/>
          </w:tcPr>
          <w:p w14:paraId="6FC890BD" w14:textId="33566BF6" w:rsidR="00741926" w:rsidRPr="0014428C" w:rsidRDefault="008610B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Partiellement satisfaisant (9)</w:t>
            </w:r>
          </w:p>
        </w:tc>
      </w:tr>
      <w:tr w:rsidR="00201CB9" w:rsidRPr="0014428C" w14:paraId="7A654023" w14:textId="77777777" w:rsidTr="00A56A4E">
        <w:tc>
          <w:tcPr>
            <w:tcW w:w="0" w:type="dxa"/>
            <w:vAlign w:val="center"/>
          </w:tcPr>
          <w:p w14:paraId="6265072F" w14:textId="5579A13E" w:rsidR="00741926" w:rsidRPr="0014428C" w:rsidRDefault="008610BC" w:rsidP="00563513">
            <w:pPr>
              <w:shd w:val="clear" w:color="auto" w:fill="auto"/>
              <w:spacing w:before="0" w:after="0"/>
              <w:rPr>
                <w:color w:val="000000" w:themeColor="text1"/>
                <w:sz w:val="16"/>
                <w:szCs w:val="16"/>
              </w:rPr>
            </w:pPr>
            <w:r w:rsidRPr="0014428C">
              <w:rPr>
                <w:rFonts w:eastAsia="Open Sans"/>
                <w:color w:val="000000"/>
                <w:sz w:val="16"/>
                <w:szCs w:val="16"/>
                <w:lang w:val="fr-FR"/>
              </w:rPr>
              <w:t>République centrafricaine</w:t>
            </w:r>
          </w:p>
        </w:tc>
        <w:tc>
          <w:tcPr>
            <w:tcW w:w="0" w:type="dxa"/>
            <w:shd w:val="clear" w:color="auto" w:fill="AFD08D"/>
            <w:vAlign w:val="center"/>
          </w:tcPr>
          <w:p w14:paraId="40155029" w14:textId="782D9DEA"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shd w:val="clear" w:color="auto" w:fill="49A178"/>
            <w:vAlign w:val="center"/>
          </w:tcPr>
          <w:p w14:paraId="5F87FA60" w14:textId="09100F0D"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4</w:t>
            </w:r>
          </w:p>
        </w:tc>
        <w:tc>
          <w:tcPr>
            <w:tcW w:w="0" w:type="dxa"/>
            <w:shd w:val="clear" w:color="auto" w:fill="49A178"/>
            <w:vAlign w:val="center"/>
          </w:tcPr>
          <w:p w14:paraId="5E8B8F4B" w14:textId="481E0EB5"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FFD966" w:themeFill="accent4" w:themeFillTint="99"/>
            <w:vAlign w:val="center"/>
          </w:tcPr>
          <w:p w14:paraId="0E570E46" w14:textId="44271D4E"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AFD08D"/>
            <w:vAlign w:val="center"/>
          </w:tcPr>
          <w:p w14:paraId="1649B725" w14:textId="2B9C143A"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73C167"/>
            <w:vAlign w:val="center"/>
          </w:tcPr>
          <w:p w14:paraId="58D18EEF" w14:textId="327A7891" w:rsidR="00741926" w:rsidRPr="0014428C" w:rsidRDefault="00A16F2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Partiellement satisfaisant (10)</w:t>
            </w:r>
          </w:p>
        </w:tc>
      </w:tr>
      <w:tr w:rsidR="00201CB9" w:rsidRPr="0014428C" w14:paraId="01B6FD60" w14:textId="77777777" w:rsidTr="00A56A4E">
        <w:trPr>
          <w:trHeight w:val="288"/>
        </w:trPr>
        <w:tc>
          <w:tcPr>
            <w:tcW w:w="0" w:type="dxa"/>
            <w:vAlign w:val="center"/>
          </w:tcPr>
          <w:p w14:paraId="195A6C56" w14:textId="13D73DCD" w:rsidR="00741926" w:rsidRPr="0014428C" w:rsidRDefault="00741926" w:rsidP="00563513">
            <w:pPr>
              <w:shd w:val="clear" w:color="auto" w:fill="auto"/>
              <w:spacing w:before="0" w:after="0"/>
              <w:rPr>
                <w:color w:val="000000" w:themeColor="text1"/>
                <w:sz w:val="16"/>
                <w:szCs w:val="16"/>
              </w:rPr>
            </w:pPr>
            <w:proofErr w:type="spellStart"/>
            <w:r w:rsidRPr="0014428C">
              <w:rPr>
                <w:color w:val="000000" w:themeColor="text1"/>
                <w:sz w:val="16"/>
                <w:szCs w:val="16"/>
              </w:rPr>
              <w:lastRenderedPageBreak/>
              <w:t>Colombi</w:t>
            </w:r>
            <w:r w:rsidR="00A16F2C" w:rsidRPr="0014428C">
              <w:rPr>
                <w:color w:val="000000" w:themeColor="text1"/>
                <w:sz w:val="16"/>
                <w:szCs w:val="16"/>
              </w:rPr>
              <w:t>e</w:t>
            </w:r>
            <w:proofErr w:type="spellEnd"/>
          </w:p>
        </w:tc>
        <w:tc>
          <w:tcPr>
            <w:tcW w:w="0" w:type="dxa"/>
            <w:shd w:val="clear" w:color="auto" w:fill="49A178"/>
            <w:vAlign w:val="center"/>
          </w:tcPr>
          <w:p w14:paraId="013E4093" w14:textId="04F49EAE"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5</w:t>
            </w:r>
          </w:p>
        </w:tc>
        <w:tc>
          <w:tcPr>
            <w:tcW w:w="0" w:type="dxa"/>
            <w:shd w:val="clear" w:color="auto" w:fill="AFD08D"/>
            <w:vAlign w:val="center"/>
          </w:tcPr>
          <w:p w14:paraId="6C277EAF" w14:textId="37782652"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49A178"/>
            <w:vAlign w:val="center"/>
          </w:tcPr>
          <w:p w14:paraId="7C29F69C" w14:textId="1762D89B"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AFD08D"/>
            <w:vAlign w:val="center"/>
          </w:tcPr>
          <w:p w14:paraId="5BDF55CC" w14:textId="461C6A5B"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49A178"/>
            <w:vAlign w:val="center"/>
          </w:tcPr>
          <w:p w14:paraId="1F054FBF" w14:textId="4B28F9CD"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2F833F"/>
            <w:vAlign w:val="center"/>
          </w:tcPr>
          <w:p w14:paraId="3CFAEF31" w14:textId="725CD6F1" w:rsidR="00741926" w:rsidRPr="0014428C" w:rsidRDefault="00A16F2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Satisfaisant (12)</w:t>
            </w:r>
          </w:p>
        </w:tc>
      </w:tr>
      <w:tr w:rsidR="00201CB9" w:rsidRPr="0014428C" w14:paraId="5D19E171" w14:textId="77777777" w:rsidTr="00A56A4E">
        <w:trPr>
          <w:trHeight w:val="288"/>
        </w:trPr>
        <w:tc>
          <w:tcPr>
            <w:tcW w:w="0" w:type="dxa"/>
            <w:vAlign w:val="center"/>
          </w:tcPr>
          <w:p w14:paraId="533E94E4" w14:textId="022AFB85" w:rsidR="00741926" w:rsidRPr="0014428C" w:rsidRDefault="00A16F2C" w:rsidP="00563513">
            <w:pPr>
              <w:shd w:val="clear" w:color="auto" w:fill="auto"/>
              <w:spacing w:before="0" w:after="0"/>
              <w:rPr>
                <w:color w:val="000000" w:themeColor="text1"/>
                <w:sz w:val="16"/>
                <w:szCs w:val="16"/>
              </w:rPr>
            </w:pPr>
            <w:r w:rsidRPr="0014428C">
              <w:rPr>
                <w:rFonts w:eastAsia="Open Sans"/>
                <w:color w:val="000000"/>
                <w:sz w:val="16"/>
                <w:szCs w:val="16"/>
                <w:lang w:val="fr-FR"/>
              </w:rPr>
              <w:t>République démocratique du Congo</w:t>
            </w:r>
          </w:p>
        </w:tc>
        <w:tc>
          <w:tcPr>
            <w:tcW w:w="0" w:type="dxa"/>
            <w:shd w:val="clear" w:color="auto" w:fill="AFD08D"/>
            <w:vAlign w:val="center"/>
          </w:tcPr>
          <w:p w14:paraId="22E2C0F4" w14:textId="7E1A5CE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shd w:val="clear" w:color="auto" w:fill="49A178"/>
            <w:vAlign w:val="center"/>
          </w:tcPr>
          <w:p w14:paraId="7011071C" w14:textId="546A9861"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4</w:t>
            </w:r>
          </w:p>
        </w:tc>
        <w:tc>
          <w:tcPr>
            <w:tcW w:w="0" w:type="dxa"/>
            <w:shd w:val="clear" w:color="auto" w:fill="49A178"/>
            <w:vAlign w:val="center"/>
          </w:tcPr>
          <w:p w14:paraId="584ABF65" w14:textId="18649D5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AFD08D"/>
            <w:vAlign w:val="center"/>
          </w:tcPr>
          <w:p w14:paraId="469D7A34" w14:textId="66F45C0E"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49A178"/>
            <w:vAlign w:val="center"/>
          </w:tcPr>
          <w:p w14:paraId="2266080A" w14:textId="477C7C4C"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2F833F"/>
            <w:vAlign w:val="center"/>
          </w:tcPr>
          <w:p w14:paraId="3F4F37BB" w14:textId="0792F0F3" w:rsidR="00741926" w:rsidRPr="0014428C" w:rsidRDefault="00A16F2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Satisfaisant (12)</w:t>
            </w:r>
          </w:p>
        </w:tc>
      </w:tr>
      <w:tr w:rsidR="00201CB9" w:rsidRPr="0014428C" w14:paraId="4D87E469" w14:textId="77777777" w:rsidTr="00A56A4E">
        <w:trPr>
          <w:trHeight w:val="288"/>
        </w:trPr>
        <w:tc>
          <w:tcPr>
            <w:tcW w:w="0" w:type="dxa"/>
            <w:vAlign w:val="center"/>
          </w:tcPr>
          <w:p w14:paraId="2285F1C3" w14:textId="557947B2" w:rsidR="00741926" w:rsidRPr="0014428C" w:rsidRDefault="00741926" w:rsidP="00563513">
            <w:pPr>
              <w:shd w:val="clear" w:color="auto" w:fill="auto"/>
              <w:spacing w:before="0" w:after="0"/>
              <w:rPr>
                <w:color w:val="000000" w:themeColor="text1"/>
                <w:sz w:val="16"/>
                <w:szCs w:val="16"/>
              </w:rPr>
            </w:pPr>
            <w:r w:rsidRPr="0014428C">
              <w:rPr>
                <w:color w:val="000000" w:themeColor="text1"/>
                <w:sz w:val="16"/>
                <w:szCs w:val="16"/>
              </w:rPr>
              <w:t>Costa Rica</w:t>
            </w:r>
          </w:p>
        </w:tc>
        <w:tc>
          <w:tcPr>
            <w:tcW w:w="0" w:type="dxa"/>
            <w:shd w:val="clear" w:color="auto" w:fill="49A178"/>
            <w:vAlign w:val="center"/>
          </w:tcPr>
          <w:p w14:paraId="07987D84" w14:textId="18353319"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5</w:t>
            </w:r>
          </w:p>
        </w:tc>
        <w:tc>
          <w:tcPr>
            <w:tcW w:w="0" w:type="dxa"/>
            <w:shd w:val="clear" w:color="auto" w:fill="AFD08D"/>
            <w:vAlign w:val="center"/>
          </w:tcPr>
          <w:p w14:paraId="0013E2DC" w14:textId="4BF60DB7"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vAlign w:val="center"/>
          </w:tcPr>
          <w:p w14:paraId="15F2C45A" w14:textId="3978F1D5"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w:t>
            </w:r>
          </w:p>
        </w:tc>
        <w:tc>
          <w:tcPr>
            <w:tcW w:w="0" w:type="dxa"/>
            <w:shd w:val="clear" w:color="auto" w:fill="49A178"/>
            <w:vAlign w:val="center"/>
          </w:tcPr>
          <w:p w14:paraId="1D636D8A" w14:textId="6FE255BD"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49A178"/>
            <w:vAlign w:val="center"/>
          </w:tcPr>
          <w:p w14:paraId="0A6E1B26" w14:textId="590019F0"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2F833F"/>
            <w:vAlign w:val="center"/>
          </w:tcPr>
          <w:p w14:paraId="3D14442A" w14:textId="2B90958F" w:rsidR="00741926" w:rsidRPr="0014428C" w:rsidRDefault="00A16F2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Satisfaisant (12)</w:t>
            </w:r>
          </w:p>
        </w:tc>
      </w:tr>
      <w:tr w:rsidR="00201CB9" w:rsidRPr="0014428C" w14:paraId="045B80D5" w14:textId="77777777" w:rsidTr="00A56A4E">
        <w:trPr>
          <w:trHeight w:val="288"/>
        </w:trPr>
        <w:tc>
          <w:tcPr>
            <w:tcW w:w="0" w:type="dxa"/>
            <w:vAlign w:val="center"/>
          </w:tcPr>
          <w:p w14:paraId="6CE42480" w14:textId="3345E04A" w:rsidR="00741926" w:rsidRPr="0014428C" w:rsidRDefault="00A16F2C" w:rsidP="00563513">
            <w:pPr>
              <w:shd w:val="clear" w:color="auto" w:fill="auto"/>
              <w:spacing w:before="0" w:after="0"/>
              <w:rPr>
                <w:color w:val="000000" w:themeColor="text1"/>
                <w:sz w:val="16"/>
                <w:szCs w:val="16"/>
              </w:rPr>
            </w:pPr>
            <w:r w:rsidRPr="0014428C">
              <w:rPr>
                <w:rFonts w:eastAsia="Open Sans"/>
                <w:color w:val="000000"/>
                <w:sz w:val="16"/>
                <w:szCs w:val="16"/>
                <w:lang w:val="fr-FR"/>
              </w:rPr>
              <w:t>Équateur</w:t>
            </w:r>
          </w:p>
        </w:tc>
        <w:tc>
          <w:tcPr>
            <w:tcW w:w="0" w:type="dxa"/>
            <w:shd w:val="clear" w:color="auto" w:fill="AFD08D"/>
            <w:vAlign w:val="center"/>
          </w:tcPr>
          <w:p w14:paraId="07593BF6" w14:textId="55023018"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shd w:val="clear" w:color="auto" w:fill="AFD08D"/>
            <w:vAlign w:val="center"/>
          </w:tcPr>
          <w:p w14:paraId="055E10C8" w14:textId="4FFBEAA6"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49A178"/>
            <w:vAlign w:val="center"/>
          </w:tcPr>
          <w:p w14:paraId="04B675EB" w14:textId="0E65CBA8"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AFD08D"/>
            <w:vAlign w:val="center"/>
          </w:tcPr>
          <w:p w14:paraId="66D660C1" w14:textId="7242AE57"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49A178"/>
            <w:vAlign w:val="center"/>
          </w:tcPr>
          <w:p w14:paraId="494AC8A5" w14:textId="0327364C"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73C167"/>
            <w:vAlign w:val="center"/>
          </w:tcPr>
          <w:p w14:paraId="5500376F" w14:textId="6447A09F" w:rsidR="00741926" w:rsidRPr="0014428C" w:rsidRDefault="00A16F2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Partiellement satisfaisant (10)</w:t>
            </w:r>
          </w:p>
        </w:tc>
      </w:tr>
      <w:tr w:rsidR="00201CB9" w:rsidRPr="0014428C" w14:paraId="4EB1A4AE" w14:textId="77777777" w:rsidTr="00A56A4E">
        <w:trPr>
          <w:trHeight w:val="288"/>
        </w:trPr>
        <w:tc>
          <w:tcPr>
            <w:tcW w:w="0" w:type="dxa"/>
            <w:vAlign w:val="center"/>
          </w:tcPr>
          <w:p w14:paraId="2D658680" w14:textId="6336C99B" w:rsidR="00741926" w:rsidRPr="0014428C" w:rsidRDefault="00A16F2C" w:rsidP="00563513">
            <w:pPr>
              <w:shd w:val="clear" w:color="auto" w:fill="auto"/>
              <w:spacing w:before="0" w:after="0"/>
              <w:rPr>
                <w:color w:val="000000" w:themeColor="text1"/>
                <w:sz w:val="16"/>
                <w:szCs w:val="16"/>
              </w:rPr>
            </w:pPr>
            <w:r w:rsidRPr="0014428C">
              <w:rPr>
                <w:rFonts w:eastAsia="Open Sans"/>
                <w:color w:val="000000"/>
                <w:sz w:val="16"/>
                <w:szCs w:val="16"/>
                <w:lang w:val="fr-FR"/>
              </w:rPr>
              <w:t>Guyane française (France)</w:t>
            </w:r>
          </w:p>
        </w:tc>
        <w:tc>
          <w:tcPr>
            <w:tcW w:w="0" w:type="dxa"/>
            <w:shd w:val="clear" w:color="auto" w:fill="AFD08D"/>
            <w:vAlign w:val="center"/>
          </w:tcPr>
          <w:p w14:paraId="2AE5A5C8" w14:textId="3B43F14A"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shd w:val="clear" w:color="auto" w:fill="AFD08D"/>
            <w:vAlign w:val="center"/>
          </w:tcPr>
          <w:p w14:paraId="4715B5DC" w14:textId="388C7FE5"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AFD08D"/>
            <w:vAlign w:val="center"/>
          </w:tcPr>
          <w:p w14:paraId="26EE8859" w14:textId="01135022"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27F1867D" w14:textId="5CF5D6F5"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77C1402D" w14:textId="5E444E18"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73C167"/>
            <w:vAlign w:val="center"/>
          </w:tcPr>
          <w:p w14:paraId="4BC7E539" w14:textId="6612C494" w:rsidR="00741926" w:rsidRPr="0014428C" w:rsidRDefault="00A16F2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Partiellement satisfaisant (8)</w:t>
            </w:r>
          </w:p>
        </w:tc>
      </w:tr>
      <w:tr w:rsidR="00201CB9" w:rsidRPr="0014428C" w14:paraId="122991AB" w14:textId="77777777" w:rsidTr="00A56A4E">
        <w:trPr>
          <w:trHeight w:val="288"/>
        </w:trPr>
        <w:tc>
          <w:tcPr>
            <w:tcW w:w="0" w:type="dxa"/>
            <w:vAlign w:val="center"/>
          </w:tcPr>
          <w:p w14:paraId="7D5B52D4" w14:textId="1B02A533" w:rsidR="00741926" w:rsidRPr="0014428C" w:rsidRDefault="00741926" w:rsidP="00563513">
            <w:pPr>
              <w:shd w:val="clear" w:color="auto" w:fill="auto"/>
              <w:spacing w:before="0" w:after="0"/>
              <w:rPr>
                <w:color w:val="000000" w:themeColor="text1"/>
                <w:sz w:val="16"/>
                <w:szCs w:val="16"/>
              </w:rPr>
            </w:pPr>
            <w:r w:rsidRPr="0014428C">
              <w:rPr>
                <w:color w:val="000000" w:themeColor="text1"/>
                <w:sz w:val="16"/>
                <w:szCs w:val="16"/>
              </w:rPr>
              <w:t>Gabon</w:t>
            </w:r>
          </w:p>
        </w:tc>
        <w:tc>
          <w:tcPr>
            <w:tcW w:w="0" w:type="dxa"/>
            <w:shd w:val="clear" w:color="auto" w:fill="AFD08D"/>
            <w:vAlign w:val="center"/>
          </w:tcPr>
          <w:p w14:paraId="33857E5C" w14:textId="05CB95C7"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shd w:val="clear" w:color="auto" w:fill="FFD966" w:themeFill="accent4" w:themeFillTint="99"/>
            <w:vAlign w:val="center"/>
          </w:tcPr>
          <w:p w14:paraId="234D6644" w14:textId="6E3DAD0F"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FFD966" w:themeFill="accent4" w:themeFillTint="99"/>
            <w:vAlign w:val="center"/>
          </w:tcPr>
          <w:p w14:paraId="6B59062F" w14:textId="4F251A60"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FFD966" w:themeFill="accent4" w:themeFillTint="99"/>
            <w:vAlign w:val="center"/>
          </w:tcPr>
          <w:p w14:paraId="514F1DDA" w14:textId="5D71AD8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AFD08D"/>
            <w:vAlign w:val="center"/>
          </w:tcPr>
          <w:p w14:paraId="633919DF" w14:textId="6D1A7638"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DDECD9"/>
            <w:vAlign w:val="center"/>
          </w:tcPr>
          <w:p w14:paraId="20A26C83" w14:textId="72DE62BD" w:rsidR="00741926" w:rsidRPr="0014428C" w:rsidRDefault="0014428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Insatisfaisant (4)</w:t>
            </w:r>
          </w:p>
        </w:tc>
      </w:tr>
      <w:tr w:rsidR="00201CB9" w:rsidRPr="0014428C" w14:paraId="0FBDB7E7" w14:textId="77777777" w:rsidTr="00A56A4E">
        <w:trPr>
          <w:trHeight w:val="288"/>
        </w:trPr>
        <w:tc>
          <w:tcPr>
            <w:tcW w:w="0" w:type="dxa"/>
            <w:vAlign w:val="center"/>
          </w:tcPr>
          <w:p w14:paraId="2BF0574E" w14:textId="4F8865C6" w:rsidR="00741926" w:rsidRPr="0014428C" w:rsidRDefault="00741926" w:rsidP="00563513">
            <w:pPr>
              <w:shd w:val="clear" w:color="auto" w:fill="auto"/>
              <w:spacing w:before="0" w:after="0"/>
              <w:rPr>
                <w:color w:val="000000" w:themeColor="text1"/>
                <w:sz w:val="16"/>
                <w:szCs w:val="16"/>
              </w:rPr>
            </w:pPr>
            <w:r w:rsidRPr="0014428C">
              <w:rPr>
                <w:color w:val="000000" w:themeColor="text1"/>
                <w:sz w:val="16"/>
                <w:szCs w:val="16"/>
              </w:rPr>
              <w:t>Guatemala</w:t>
            </w:r>
          </w:p>
        </w:tc>
        <w:tc>
          <w:tcPr>
            <w:tcW w:w="0" w:type="dxa"/>
            <w:shd w:val="clear" w:color="auto" w:fill="AFD08D"/>
            <w:vAlign w:val="center"/>
          </w:tcPr>
          <w:p w14:paraId="3E520FF9" w14:textId="59F49A01"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shd w:val="clear" w:color="auto" w:fill="FFD966" w:themeFill="accent4" w:themeFillTint="99"/>
            <w:vAlign w:val="center"/>
          </w:tcPr>
          <w:p w14:paraId="6D3B911E" w14:textId="17C4FD12"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FFD966" w:themeFill="accent4" w:themeFillTint="99"/>
            <w:vAlign w:val="center"/>
          </w:tcPr>
          <w:p w14:paraId="213B2356" w14:textId="7B2D53CF"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AFD08D"/>
            <w:vAlign w:val="center"/>
          </w:tcPr>
          <w:p w14:paraId="74C76265" w14:textId="14F515DA"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2016B9D3" w14:textId="1954042B"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DDECD9"/>
            <w:vAlign w:val="center"/>
          </w:tcPr>
          <w:p w14:paraId="22E39451" w14:textId="331B1BD5" w:rsidR="00741926" w:rsidRPr="0014428C" w:rsidRDefault="0014428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Insatisfaisant (5)</w:t>
            </w:r>
          </w:p>
        </w:tc>
      </w:tr>
      <w:tr w:rsidR="00201CB9" w:rsidRPr="0014428C" w14:paraId="12C15957" w14:textId="77777777" w:rsidTr="00A56A4E">
        <w:trPr>
          <w:trHeight w:val="288"/>
        </w:trPr>
        <w:tc>
          <w:tcPr>
            <w:tcW w:w="0" w:type="dxa"/>
            <w:vAlign w:val="center"/>
          </w:tcPr>
          <w:p w14:paraId="6F6DFF28" w14:textId="217AEA57" w:rsidR="00741926" w:rsidRPr="0014428C" w:rsidRDefault="00741926" w:rsidP="00563513">
            <w:pPr>
              <w:shd w:val="clear" w:color="auto" w:fill="auto"/>
              <w:spacing w:before="0" w:after="0"/>
              <w:rPr>
                <w:color w:val="000000" w:themeColor="text1"/>
                <w:sz w:val="16"/>
                <w:szCs w:val="16"/>
              </w:rPr>
            </w:pPr>
            <w:proofErr w:type="spellStart"/>
            <w:r w:rsidRPr="0014428C">
              <w:rPr>
                <w:color w:val="000000" w:themeColor="text1"/>
                <w:sz w:val="16"/>
                <w:szCs w:val="16"/>
              </w:rPr>
              <w:t>Guyan</w:t>
            </w:r>
            <w:r w:rsidR="00A16F2C" w:rsidRPr="0014428C">
              <w:rPr>
                <w:color w:val="000000" w:themeColor="text1"/>
                <w:sz w:val="16"/>
                <w:szCs w:val="16"/>
              </w:rPr>
              <w:t>e</w:t>
            </w:r>
            <w:proofErr w:type="spellEnd"/>
          </w:p>
        </w:tc>
        <w:tc>
          <w:tcPr>
            <w:tcW w:w="0" w:type="dxa"/>
            <w:shd w:val="clear" w:color="auto" w:fill="49A178"/>
            <w:vAlign w:val="center"/>
          </w:tcPr>
          <w:p w14:paraId="69E2A1A8" w14:textId="325F185D"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5</w:t>
            </w:r>
          </w:p>
        </w:tc>
        <w:tc>
          <w:tcPr>
            <w:tcW w:w="0" w:type="dxa"/>
            <w:shd w:val="clear" w:color="auto" w:fill="49A178"/>
            <w:vAlign w:val="center"/>
          </w:tcPr>
          <w:p w14:paraId="36609B40" w14:textId="05366621"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4</w:t>
            </w:r>
          </w:p>
        </w:tc>
        <w:tc>
          <w:tcPr>
            <w:tcW w:w="0" w:type="dxa"/>
            <w:shd w:val="clear" w:color="auto" w:fill="49A178"/>
            <w:vAlign w:val="center"/>
          </w:tcPr>
          <w:p w14:paraId="3330AB56" w14:textId="12F8B843"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AFD08D"/>
            <w:vAlign w:val="center"/>
          </w:tcPr>
          <w:p w14:paraId="6D29C7D9" w14:textId="6AC1A5A0"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76E4C637" w14:textId="21FBC950"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2F833F"/>
            <w:vAlign w:val="center"/>
          </w:tcPr>
          <w:p w14:paraId="41952BE2" w14:textId="437F86EF" w:rsidR="00741926" w:rsidRPr="0014428C" w:rsidRDefault="0014428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Satisfaisant</w:t>
            </w:r>
            <w:r w:rsidR="00741926" w:rsidRPr="0014428C">
              <w:rPr>
                <w:color w:val="000000" w:themeColor="text1"/>
                <w:sz w:val="16"/>
                <w:szCs w:val="16"/>
              </w:rPr>
              <w:t xml:space="preserve"> (13)</w:t>
            </w:r>
          </w:p>
        </w:tc>
      </w:tr>
      <w:tr w:rsidR="00201CB9" w:rsidRPr="0014428C" w14:paraId="4AE36597" w14:textId="77777777" w:rsidTr="00A56A4E">
        <w:trPr>
          <w:trHeight w:val="288"/>
        </w:trPr>
        <w:tc>
          <w:tcPr>
            <w:tcW w:w="0" w:type="dxa"/>
            <w:vAlign w:val="center"/>
          </w:tcPr>
          <w:p w14:paraId="3A7B4C88" w14:textId="4C1971AC" w:rsidR="00741926" w:rsidRPr="0014428C" w:rsidRDefault="00741926" w:rsidP="00563513">
            <w:pPr>
              <w:shd w:val="clear" w:color="auto" w:fill="auto"/>
              <w:spacing w:before="0" w:after="0"/>
              <w:rPr>
                <w:color w:val="000000" w:themeColor="text1"/>
                <w:sz w:val="16"/>
                <w:szCs w:val="16"/>
              </w:rPr>
            </w:pPr>
            <w:r w:rsidRPr="0014428C">
              <w:rPr>
                <w:color w:val="000000" w:themeColor="text1"/>
                <w:sz w:val="16"/>
                <w:szCs w:val="16"/>
              </w:rPr>
              <w:t>Honduras</w:t>
            </w:r>
          </w:p>
        </w:tc>
        <w:tc>
          <w:tcPr>
            <w:tcW w:w="0" w:type="dxa"/>
            <w:shd w:val="clear" w:color="auto" w:fill="49A178"/>
            <w:vAlign w:val="center"/>
          </w:tcPr>
          <w:p w14:paraId="2733D66C" w14:textId="28298B78"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5</w:t>
            </w:r>
          </w:p>
        </w:tc>
        <w:tc>
          <w:tcPr>
            <w:tcW w:w="0" w:type="dxa"/>
            <w:shd w:val="clear" w:color="auto" w:fill="AFD08D"/>
            <w:vAlign w:val="center"/>
          </w:tcPr>
          <w:p w14:paraId="0AB5BEFC" w14:textId="5CD8382F"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vAlign w:val="center"/>
          </w:tcPr>
          <w:p w14:paraId="796C838A" w14:textId="6DF048C0"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w:t>
            </w:r>
          </w:p>
        </w:tc>
        <w:tc>
          <w:tcPr>
            <w:tcW w:w="0" w:type="dxa"/>
            <w:shd w:val="clear" w:color="auto" w:fill="FFD966" w:themeFill="accent4" w:themeFillTint="99"/>
            <w:vAlign w:val="center"/>
          </w:tcPr>
          <w:p w14:paraId="52FF3599" w14:textId="3623DA3F"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AFD08D"/>
            <w:vAlign w:val="center"/>
          </w:tcPr>
          <w:p w14:paraId="23B82126" w14:textId="18787D5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73C167"/>
            <w:vAlign w:val="center"/>
          </w:tcPr>
          <w:p w14:paraId="69DC7E3A" w14:textId="7710D7F3" w:rsidR="00741926" w:rsidRPr="0014428C" w:rsidRDefault="008610B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Partiellement satisfaisant (9)</w:t>
            </w:r>
          </w:p>
        </w:tc>
      </w:tr>
      <w:tr w:rsidR="00201CB9" w:rsidRPr="0014428C" w14:paraId="5722AC19" w14:textId="77777777" w:rsidTr="00A56A4E">
        <w:trPr>
          <w:trHeight w:val="288"/>
        </w:trPr>
        <w:tc>
          <w:tcPr>
            <w:tcW w:w="0" w:type="dxa"/>
            <w:vAlign w:val="center"/>
          </w:tcPr>
          <w:p w14:paraId="2E6EEACD" w14:textId="62F9F757" w:rsidR="00741926" w:rsidRPr="0014428C" w:rsidRDefault="00A16F2C" w:rsidP="00563513">
            <w:pPr>
              <w:shd w:val="clear" w:color="auto" w:fill="auto"/>
              <w:spacing w:before="0" w:after="0"/>
              <w:rPr>
                <w:color w:val="000000" w:themeColor="text1"/>
                <w:sz w:val="16"/>
                <w:szCs w:val="16"/>
              </w:rPr>
            </w:pPr>
            <w:r w:rsidRPr="0014428C">
              <w:rPr>
                <w:rFonts w:eastAsia="Open Sans"/>
                <w:color w:val="000000"/>
                <w:sz w:val="16"/>
                <w:szCs w:val="16"/>
                <w:lang w:val="fr-FR"/>
              </w:rPr>
              <w:t>Indonésie</w:t>
            </w:r>
          </w:p>
        </w:tc>
        <w:tc>
          <w:tcPr>
            <w:tcW w:w="0" w:type="dxa"/>
            <w:shd w:val="clear" w:color="auto" w:fill="AFD08D"/>
            <w:vAlign w:val="center"/>
          </w:tcPr>
          <w:p w14:paraId="7032913D" w14:textId="237D1C0A"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shd w:val="clear" w:color="auto" w:fill="FFD966" w:themeFill="accent4" w:themeFillTint="99"/>
            <w:vAlign w:val="center"/>
          </w:tcPr>
          <w:p w14:paraId="5EFAB809" w14:textId="11A97CDC"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AFD08D"/>
            <w:vAlign w:val="center"/>
          </w:tcPr>
          <w:p w14:paraId="53731A3E" w14:textId="2E27B381"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01C2A8B9" w14:textId="441E1C7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49A178"/>
            <w:vAlign w:val="center"/>
          </w:tcPr>
          <w:p w14:paraId="23CF7FC6" w14:textId="523657A5"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DDECD9"/>
            <w:vAlign w:val="center"/>
          </w:tcPr>
          <w:p w14:paraId="6A659C1B" w14:textId="7B482063" w:rsidR="00741926" w:rsidRPr="0014428C" w:rsidRDefault="0014428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Insatisfaisant (</w:t>
            </w:r>
            <w:r w:rsidRPr="0014428C">
              <w:rPr>
                <w:rFonts w:eastAsia="Open Sans"/>
                <w:color w:val="000000"/>
                <w:sz w:val="16"/>
                <w:szCs w:val="16"/>
                <w:lang w:val="fr-FR"/>
              </w:rPr>
              <w:t>7</w:t>
            </w:r>
            <w:r w:rsidRPr="0014428C">
              <w:rPr>
                <w:rFonts w:eastAsia="Open Sans"/>
                <w:color w:val="000000"/>
                <w:sz w:val="16"/>
                <w:szCs w:val="16"/>
                <w:lang w:val="fr-FR"/>
              </w:rPr>
              <w:t>)</w:t>
            </w:r>
          </w:p>
        </w:tc>
      </w:tr>
      <w:tr w:rsidR="00201CB9" w:rsidRPr="0014428C" w14:paraId="3DFAC1D7" w14:textId="77777777" w:rsidTr="005818AA">
        <w:trPr>
          <w:trHeight w:val="288"/>
        </w:trPr>
        <w:tc>
          <w:tcPr>
            <w:tcW w:w="0" w:type="dxa"/>
            <w:vAlign w:val="center"/>
          </w:tcPr>
          <w:p w14:paraId="2CEBE8E8" w14:textId="5EC5C07C" w:rsidR="00741926" w:rsidRPr="0014428C" w:rsidRDefault="00A16F2C" w:rsidP="00563513">
            <w:pPr>
              <w:shd w:val="clear" w:color="auto" w:fill="auto"/>
              <w:spacing w:before="0" w:after="0"/>
              <w:rPr>
                <w:color w:val="000000" w:themeColor="text1"/>
                <w:sz w:val="16"/>
                <w:szCs w:val="16"/>
              </w:rPr>
            </w:pPr>
            <w:r w:rsidRPr="0014428C">
              <w:rPr>
                <w:rFonts w:eastAsia="Open Sans"/>
                <w:color w:val="000000"/>
                <w:sz w:val="16"/>
                <w:szCs w:val="16"/>
                <w:lang w:val="fr-FR"/>
              </w:rPr>
              <w:t>Mexique</w:t>
            </w:r>
          </w:p>
        </w:tc>
        <w:tc>
          <w:tcPr>
            <w:tcW w:w="0" w:type="dxa"/>
            <w:shd w:val="clear" w:color="auto" w:fill="49A178"/>
            <w:vAlign w:val="center"/>
          </w:tcPr>
          <w:p w14:paraId="7152E2BF" w14:textId="209F53C9"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5</w:t>
            </w:r>
          </w:p>
        </w:tc>
        <w:tc>
          <w:tcPr>
            <w:tcW w:w="0" w:type="dxa"/>
            <w:shd w:val="clear" w:color="auto" w:fill="49A178"/>
            <w:vAlign w:val="center"/>
          </w:tcPr>
          <w:p w14:paraId="13D1AAC2" w14:textId="1B5E0F4D"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4</w:t>
            </w:r>
          </w:p>
        </w:tc>
        <w:tc>
          <w:tcPr>
            <w:tcW w:w="0" w:type="dxa"/>
            <w:shd w:val="clear" w:color="auto" w:fill="49A178"/>
            <w:vAlign w:val="center"/>
          </w:tcPr>
          <w:p w14:paraId="6D908135" w14:textId="027DC92E"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49A178"/>
            <w:vAlign w:val="center"/>
          </w:tcPr>
          <w:p w14:paraId="5BB9B8F3" w14:textId="2E9B92C6"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49A178"/>
            <w:vAlign w:val="center"/>
          </w:tcPr>
          <w:p w14:paraId="7EF9354A" w14:textId="215A7E17"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2F833F"/>
            <w:vAlign w:val="center"/>
          </w:tcPr>
          <w:p w14:paraId="397E511E" w14:textId="55B67110" w:rsidR="00741926" w:rsidRPr="0014428C" w:rsidRDefault="0014428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Satisfaisant</w:t>
            </w:r>
            <w:r w:rsidR="00741926" w:rsidRPr="0014428C">
              <w:rPr>
                <w:color w:val="000000" w:themeColor="text1"/>
                <w:sz w:val="16"/>
                <w:szCs w:val="16"/>
              </w:rPr>
              <w:t xml:space="preserve"> (15)</w:t>
            </w:r>
          </w:p>
        </w:tc>
      </w:tr>
      <w:tr w:rsidR="00201CB9" w:rsidRPr="0014428C" w14:paraId="78AB2473" w14:textId="77777777" w:rsidTr="00A56A4E">
        <w:trPr>
          <w:trHeight w:val="288"/>
        </w:trPr>
        <w:tc>
          <w:tcPr>
            <w:tcW w:w="0" w:type="dxa"/>
            <w:vAlign w:val="center"/>
          </w:tcPr>
          <w:p w14:paraId="04B33E77" w14:textId="0D36A302" w:rsidR="00741926" w:rsidRPr="0014428C" w:rsidRDefault="00741926" w:rsidP="00563513">
            <w:pPr>
              <w:shd w:val="clear" w:color="auto" w:fill="auto"/>
              <w:spacing w:before="0" w:after="0"/>
              <w:rPr>
                <w:color w:val="000000" w:themeColor="text1"/>
                <w:sz w:val="16"/>
                <w:szCs w:val="16"/>
              </w:rPr>
            </w:pPr>
            <w:r w:rsidRPr="0014428C">
              <w:rPr>
                <w:color w:val="000000" w:themeColor="text1"/>
                <w:sz w:val="16"/>
                <w:szCs w:val="16"/>
              </w:rPr>
              <w:t>Nicaragua</w:t>
            </w:r>
          </w:p>
        </w:tc>
        <w:tc>
          <w:tcPr>
            <w:tcW w:w="0" w:type="dxa"/>
            <w:shd w:val="clear" w:color="auto" w:fill="AFD08D"/>
            <w:vAlign w:val="center"/>
          </w:tcPr>
          <w:p w14:paraId="6B7016F2" w14:textId="5997B9A6"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shd w:val="clear" w:color="auto" w:fill="FFD966" w:themeFill="accent4" w:themeFillTint="99"/>
            <w:vAlign w:val="center"/>
          </w:tcPr>
          <w:p w14:paraId="462D3933" w14:textId="2CB9FF08"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vAlign w:val="center"/>
          </w:tcPr>
          <w:p w14:paraId="4FF839F6" w14:textId="767994B1"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w:t>
            </w:r>
          </w:p>
        </w:tc>
        <w:tc>
          <w:tcPr>
            <w:tcW w:w="0" w:type="dxa"/>
            <w:shd w:val="clear" w:color="auto" w:fill="AFD08D"/>
            <w:vAlign w:val="center"/>
          </w:tcPr>
          <w:p w14:paraId="00D46372" w14:textId="314A52BF"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6EF7AE0E" w14:textId="0B553A63"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DDECD9"/>
            <w:vAlign w:val="center"/>
          </w:tcPr>
          <w:p w14:paraId="2EDD3E48" w14:textId="078AD27C" w:rsidR="00741926" w:rsidRPr="0014428C" w:rsidRDefault="0014428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Insatisfaisant (5)</w:t>
            </w:r>
          </w:p>
        </w:tc>
      </w:tr>
      <w:tr w:rsidR="00201CB9" w:rsidRPr="0014428C" w14:paraId="2E17285E" w14:textId="77777777" w:rsidTr="00A56A4E">
        <w:trPr>
          <w:trHeight w:val="288"/>
        </w:trPr>
        <w:tc>
          <w:tcPr>
            <w:tcW w:w="0" w:type="dxa"/>
            <w:vAlign w:val="center"/>
          </w:tcPr>
          <w:p w14:paraId="350542D3" w14:textId="041834A9" w:rsidR="00741926" w:rsidRPr="0014428C" w:rsidRDefault="00741926" w:rsidP="00563513">
            <w:pPr>
              <w:shd w:val="clear" w:color="auto" w:fill="auto"/>
              <w:spacing w:before="0" w:after="0"/>
              <w:rPr>
                <w:color w:val="000000" w:themeColor="text1"/>
                <w:sz w:val="16"/>
                <w:szCs w:val="16"/>
              </w:rPr>
            </w:pPr>
            <w:r w:rsidRPr="0014428C">
              <w:rPr>
                <w:color w:val="000000" w:themeColor="text1"/>
                <w:sz w:val="16"/>
                <w:szCs w:val="16"/>
              </w:rPr>
              <w:t>Panama</w:t>
            </w:r>
          </w:p>
        </w:tc>
        <w:tc>
          <w:tcPr>
            <w:tcW w:w="0" w:type="dxa"/>
            <w:shd w:val="clear" w:color="auto" w:fill="49A178"/>
            <w:vAlign w:val="center"/>
          </w:tcPr>
          <w:p w14:paraId="25E15C17" w14:textId="24395851"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5</w:t>
            </w:r>
          </w:p>
        </w:tc>
        <w:tc>
          <w:tcPr>
            <w:tcW w:w="0" w:type="dxa"/>
            <w:shd w:val="clear" w:color="auto" w:fill="AFD08D"/>
            <w:vAlign w:val="center"/>
          </w:tcPr>
          <w:p w14:paraId="5196A41D" w14:textId="46FDE3CE"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AFD08D"/>
            <w:vAlign w:val="center"/>
          </w:tcPr>
          <w:p w14:paraId="1B22CA7F" w14:textId="15194183"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20BF3B70" w14:textId="04F2F2BE"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6357EE3C" w14:textId="775726AE"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73C167"/>
            <w:vAlign w:val="center"/>
          </w:tcPr>
          <w:p w14:paraId="3F5B56A1" w14:textId="4AD38DA3" w:rsidR="00741926" w:rsidRPr="0014428C" w:rsidRDefault="00A16F2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Partiellement satisfaisant (10)</w:t>
            </w:r>
          </w:p>
        </w:tc>
      </w:tr>
      <w:tr w:rsidR="00201CB9" w:rsidRPr="0014428C" w14:paraId="0ABE47E2" w14:textId="77777777" w:rsidTr="00A56A4E">
        <w:trPr>
          <w:trHeight w:val="288"/>
        </w:trPr>
        <w:tc>
          <w:tcPr>
            <w:tcW w:w="0" w:type="dxa"/>
            <w:vAlign w:val="center"/>
          </w:tcPr>
          <w:p w14:paraId="6C9CF6ED" w14:textId="7D99B82C" w:rsidR="00741926" w:rsidRPr="0014428C" w:rsidRDefault="00A16F2C" w:rsidP="00563513">
            <w:pPr>
              <w:shd w:val="clear" w:color="auto" w:fill="auto"/>
              <w:spacing w:before="0" w:after="0"/>
              <w:rPr>
                <w:color w:val="000000" w:themeColor="text1"/>
                <w:sz w:val="16"/>
                <w:szCs w:val="16"/>
              </w:rPr>
            </w:pPr>
            <w:r w:rsidRPr="0014428C">
              <w:rPr>
                <w:rFonts w:eastAsia="Open Sans"/>
                <w:color w:val="000000"/>
                <w:sz w:val="16"/>
                <w:szCs w:val="16"/>
                <w:lang w:val="fr-FR"/>
              </w:rPr>
              <w:t>Pérou</w:t>
            </w:r>
          </w:p>
        </w:tc>
        <w:tc>
          <w:tcPr>
            <w:tcW w:w="0" w:type="dxa"/>
            <w:shd w:val="clear" w:color="auto" w:fill="49A178"/>
            <w:vAlign w:val="center"/>
          </w:tcPr>
          <w:p w14:paraId="5CB9CC92" w14:textId="29BB0FE9"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5</w:t>
            </w:r>
          </w:p>
        </w:tc>
        <w:tc>
          <w:tcPr>
            <w:tcW w:w="0" w:type="dxa"/>
            <w:shd w:val="clear" w:color="auto" w:fill="49A178"/>
            <w:vAlign w:val="center"/>
          </w:tcPr>
          <w:p w14:paraId="5EE9DB39" w14:textId="085E17A5"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4</w:t>
            </w:r>
          </w:p>
        </w:tc>
        <w:tc>
          <w:tcPr>
            <w:tcW w:w="0" w:type="dxa"/>
            <w:shd w:val="clear" w:color="auto" w:fill="49A178"/>
            <w:vAlign w:val="center"/>
          </w:tcPr>
          <w:p w14:paraId="4C8BFFE9" w14:textId="1CBDB8AF"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2</w:t>
            </w:r>
          </w:p>
        </w:tc>
        <w:tc>
          <w:tcPr>
            <w:tcW w:w="0" w:type="dxa"/>
            <w:shd w:val="clear" w:color="auto" w:fill="AFD08D"/>
            <w:vAlign w:val="center"/>
          </w:tcPr>
          <w:p w14:paraId="31E55E32" w14:textId="3562DDB4"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475B61C1" w14:textId="2CE00AD9"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2F833F"/>
            <w:vAlign w:val="center"/>
          </w:tcPr>
          <w:p w14:paraId="17C20ECB" w14:textId="03EE43B8" w:rsidR="00741926" w:rsidRPr="0014428C" w:rsidRDefault="0014428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Satisfaisant</w:t>
            </w:r>
            <w:r w:rsidR="00741926" w:rsidRPr="0014428C">
              <w:rPr>
                <w:color w:val="000000" w:themeColor="text1"/>
                <w:sz w:val="16"/>
                <w:szCs w:val="16"/>
              </w:rPr>
              <w:t xml:space="preserve"> (13)</w:t>
            </w:r>
          </w:p>
        </w:tc>
      </w:tr>
      <w:tr w:rsidR="00201CB9" w:rsidRPr="0014428C" w14:paraId="5C4E71CA" w14:textId="77777777" w:rsidTr="00A56A4E">
        <w:trPr>
          <w:trHeight w:val="288"/>
        </w:trPr>
        <w:tc>
          <w:tcPr>
            <w:tcW w:w="0" w:type="dxa"/>
            <w:vAlign w:val="center"/>
          </w:tcPr>
          <w:p w14:paraId="363FB453" w14:textId="7C0B386B" w:rsidR="00741926" w:rsidRPr="0014428C" w:rsidRDefault="00741926" w:rsidP="00563513">
            <w:pPr>
              <w:shd w:val="clear" w:color="auto" w:fill="auto"/>
              <w:spacing w:before="0" w:after="0"/>
              <w:rPr>
                <w:color w:val="000000" w:themeColor="text1"/>
                <w:sz w:val="16"/>
                <w:szCs w:val="16"/>
              </w:rPr>
            </w:pPr>
            <w:r w:rsidRPr="0014428C">
              <w:rPr>
                <w:color w:val="000000" w:themeColor="text1"/>
                <w:sz w:val="16"/>
                <w:szCs w:val="16"/>
              </w:rPr>
              <w:t>Suriname</w:t>
            </w:r>
          </w:p>
        </w:tc>
        <w:tc>
          <w:tcPr>
            <w:tcW w:w="0" w:type="dxa"/>
            <w:shd w:val="clear" w:color="auto" w:fill="FFD966" w:themeFill="accent4" w:themeFillTint="99"/>
            <w:vAlign w:val="center"/>
          </w:tcPr>
          <w:p w14:paraId="44F5B3B0" w14:textId="4DD74F90"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AFD08D"/>
            <w:vAlign w:val="center"/>
          </w:tcPr>
          <w:p w14:paraId="20FB311E" w14:textId="581431B6"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3</w:t>
            </w:r>
          </w:p>
        </w:tc>
        <w:tc>
          <w:tcPr>
            <w:tcW w:w="0" w:type="dxa"/>
            <w:vAlign w:val="center"/>
          </w:tcPr>
          <w:p w14:paraId="5F981EFE" w14:textId="19C3EA43"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w:t>
            </w:r>
          </w:p>
        </w:tc>
        <w:tc>
          <w:tcPr>
            <w:tcW w:w="0" w:type="dxa"/>
            <w:shd w:val="clear" w:color="auto" w:fill="AFD08D"/>
            <w:vAlign w:val="center"/>
          </w:tcPr>
          <w:p w14:paraId="69E9E0F8" w14:textId="0BFEC956"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AFD08D"/>
            <w:vAlign w:val="center"/>
          </w:tcPr>
          <w:p w14:paraId="4C687D1C" w14:textId="487E962C" w:rsidR="00741926" w:rsidRPr="0014428C" w:rsidRDefault="00741926"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DDECD9"/>
            <w:vAlign w:val="center"/>
          </w:tcPr>
          <w:p w14:paraId="5F946E0A" w14:textId="217E77D8" w:rsidR="00741926" w:rsidRPr="0014428C" w:rsidRDefault="0014428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Insatisfaisant (5)</w:t>
            </w:r>
          </w:p>
        </w:tc>
      </w:tr>
      <w:tr w:rsidR="00201CB9" w:rsidRPr="0014428C" w14:paraId="638BFE31" w14:textId="77777777" w:rsidTr="00A56A4E">
        <w:trPr>
          <w:trHeight w:val="288"/>
        </w:trPr>
        <w:tc>
          <w:tcPr>
            <w:tcW w:w="0" w:type="dxa"/>
            <w:vAlign w:val="center"/>
          </w:tcPr>
          <w:p w14:paraId="04A36CBB" w14:textId="1580420C" w:rsidR="00D33B10" w:rsidRPr="0014428C" w:rsidRDefault="00D33B10" w:rsidP="00563513">
            <w:pPr>
              <w:shd w:val="clear" w:color="auto" w:fill="auto"/>
              <w:spacing w:before="0" w:after="0"/>
              <w:rPr>
                <w:color w:val="000000" w:themeColor="text1"/>
                <w:sz w:val="16"/>
                <w:szCs w:val="16"/>
              </w:rPr>
            </w:pPr>
            <w:r w:rsidRPr="0014428C">
              <w:rPr>
                <w:color w:val="000000" w:themeColor="text1"/>
                <w:sz w:val="16"/>
                <w:szCs w:val="16"/>
              </w:rPr>
              <w:t>Venezuela</w:t>
            </w:r>
          </w:p>
        </w:tc>
        <w:tc>
          <w:tcPr>
            <w:tcW w:w="0" w:type="dxa"/>
            <w:shd w:val="clear" w:color="auto" w:fill="49A178"/>
            <w:vAlign w:val="center"/>
          </w:tcPr>
          <w:p w14:paraId="0C8EE916" w14:textId="74727676" w:rsidR="00D33B10" w:rsidRPr="0014428C" w:rsidRDefault="00D33B10" w:rsidP="00563513">
            <w:pPr>
              <w:shd w:val="clear" w:color="auto" w:fill="auto"/>
              <w:spacing w:before="0" w:after="0"/>
              <w:jc w:val="center"/>
              <w:rPr>
                <w:color w:val="000000" w:themeColor="text1"/>
                <w:sz w:val="16"/>
                <w:szCs w:val="16"/>
              </w:rPr>
            </w:pPr>
            <w:r w:rsidRPr="0014428C">
              <w:rPr>
                <w:color w:val="000000" w:themeColor="text1"/>
                <w:sz w:val="16"/>
                <w:szCs w:val="16"/>
              </w:rPr>
              <w:t>5</w:t>
            </w:r>
          </w:p>
        </w:tc>
        <w:tc>
          <w:tcPr>
            <w:tcW w:w="0" w:type="dxa"/>
            <w:shd w:val="clear" w:color="auto" w:fill="FFD966" w:themeFill="accent4" w:themeFillTint="99"/>
            <w:vAlign w:val="center"/>
          </w:tcPr>
          <w:p w14:paraId="6190B417" w14:textId="66377E3B" w:rsidR="00D33B10" w:rsidRPr="0014428C" w:rsidRDefault="00D33B10"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FFD966" w:themeFill="accent4" w:themeFillTint="99"/>
            <w:vAlign w:val="center"/>
          </w:tcPr>
          <w:p w14:paraId="0759B64E" w14:textId="79F296E4" w:rsidR="00D33B10" w:rsidRPr="0014428C" w:rsidRDefault="00D33B10"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FFD966" w:themeFill="accent4" w:themeFillTint="99"/>
            <w:vAlign w:val="center"/>
          </w:tcPr>
          <w:p w14:paraId="17B38556" w14:textId="6A939386" w:rsidR="00D33B10" w:rsidRPr="0014428C" w:rsidRDefault="00D33B10" w:rsidP="00563513">
            <w:pPr>
              <w:shd w:val="clear" w:color="auto" w:fill="auto"/>
              <w:spacing w:before="0" w:after="0"/>
              <w:jc w:val="center"/>
              <w:rPr>
                <w:color w:val="000000" w:themeColor="text1"/>
                <w:sz w:val="16"/>
                <w:szCs w:val="16"/>
              </w:rPr>
            </w:pPr>
            <w:r w:rsidRPr="0014428C">
              <w:rPr>
                <w:color w:val="000000" w:themeColor="text1"/>
                <w:sz w:val="16"/>
                <w:szCs w:val="16"/>
              </w:rPr>
              <w:t>0</w:t>
            </w:r>
          </w:p>
        </w:tc>
        <w:tc>
          <w:tcPr>
            <w:tcW w:w="0" w:type="dxa"/>
            <w:shd w:val="clear" w:color="auto" w:fill="AFD08D"/>
            <w:vAlign w:val="center"/>
          </w:tcPr>
          <w:p w14:paraId="5D0EF428" w14:textId="3A8F6EB2" w:rsidR="00D33B10" w:rsidRPr="0014428C" w:rsidRDefault="00D33B10" w:rsidP="00563513">
            <w:pPr>
              <w:shd w:val="clear" w:color="auto" w:fill="auto"/>
              <w:spacing w:before="0" w:after="0"/>
              <w:jc w:val="center"/>
              <w:rPr>
                <w:color w:val="000000" w:themeColor="text1"/>
                <w:sz w:val="16"/>
                <w:szCs w:val="16"/>
              </w:rPr>
            </w:pPr>
            <w:r w:rsidRPr="0014428C">
              <w:rPr>
                <w:color w:val="000000" w:themeColor="text1"/>
                <w:sz w:val="16"/>
                <w:szCs w:val="16"/>
              </w:rPr>
              <w:t>1</w:t>
            </w:r>
          </w:p>
        </w:tc>
        <w:tc>
          <w:tcPr>
            <w:tcW w:w="0" w:type="dxa"/>
            <w:shd w:val="clear" w:color="auto" w:fill="DDECD9"/>
            <w:vAlign w:val="center"/>
          </w:tcPr>
          <w:p w14:paraId="21B97A0D" w14:textId="64EA5DD6" w:rsidR="00D33B10" w:rsidRPr="0014428C" w:rsidRDefault="0014428C" w:rsidP="00563513">
            <w:pPr>
              <w:shd w:val="clear" w:color="auto" w:fill="auto"/>
              <w:spacing w:before="0" w:after="0"/>
              <w:jc w:val="center"/>
              <w:rPr>
                <w:color w:val="000000" w:themeColor="text1"/>
                <w:sz w:val="16"/>
                <w:szCs w:val="16"/>
              </w:rPr>
            </w:pPr>
            <w:r w:rsidRPr="0014428C">
              <w:rPr>
                <w:rFonts w:eastAsia="Open Sans"/>
                <w:color w:val="000000"/>
                <w:sz w:val="16"/>
                <w:szCs w:val="16"/>
                <w:lang w:val="fr-FR"/>
              </w:rPr>
              <w:t>Insatisfaisant (</w:t>
            </w:r>
            <w:r w:rsidRPr="0014428C">
              <w:rPr>
                <w:rFonts w:eastAsia="Open Sans"/>
                <w:color w:val="000000"/>
                <w:sz w:val="16"/>
                <w:szCs w:val="16"/>
                <w:lang w:val="fr-FR"/>
              </w:rPr>
              <w:t>6</w:t>
            </w:r>
            <w:r w:rsidRPr="0014428C">
              <w:rPr>
                <w:rFonts w:eastAsia="Open Sans"/>
                <w:color w:val="000000"/>
                <w:sz w:val="16"/>
                <w:szCs w:val="16"/>
                <w:lang w:val="fr-FR"/>
              </w:rPr>
              <w:t>)</w:t>
            </w:r>
          </w:p>
        </w:tc>
      </w:tr>
    </w:tbl>
    <w:p w14:paraId="5829F8EE" w14:textId="77777777" w:rsidR="001E07A0" w:rsidRDefault="001E07A0" w:rsidP="00D76530"/>
    <w:p w14:paraId="22DFAE11" w14:textId="0BF9B45A" w:rsidR="001E07A0" w:rsidRPr="001E07A0" w:rsidRDefault="0014428C" w:rsidP="00DA002E">
      <w:pPr>
        <w:pStyle w:val="Heading1"/>
      </w:pPr>
      <w:bookmarkStart w:id="19" w:name="_Toc89533351"/>
      <w:bookmarkStart w:id="20" w:name="_Toc103688941"/>
      <w:r w:rsidRPr="00F039F7">
        <w:rPr>
          <w:rFonts w:eastAsia="Open Sans Semibold"/>
          <w:szCs w:val="24"/>
          <w:lang w:val="fr-FR"/>
        </w:rPr>
        <w:t>Prochaines étapes</w:t>
      </w:r>
      <w:bookmarkEnd w:id="19"/>
      <w:bookmarkEnd w:id="20"/>
    </w:p>
    <w:p w14:paraId="7A2590D9" w14:textId="6242A74D" w:rsidR="001E07A0" w:rsidRDefault="0014428C" w:rsidP="001E07A0">
      <w:pPr>
        <w:jc w:val="both"/>
      </w:pPr>
      <w:r w:rsidRPr="00F039F7">
        <w:rPr>
          <w:rFonts w:eastAsia="Open Sans"/>
          <w:szCs w:val="20"/>
          <w:lang w:val="fr-FR"/>
        </w:rPr>
        <w:t xml:space="preserve">Le </w:t>
      </w:r>
      <w:r>
        <w:rPr>
          <w:rFonts w:eastAsia="Open Sans"/>
          <w:szCs w:val="20"/>
          <w:lang w:val="fr-FR"/>
        </w:rPr>
        <w:t>C</w:t>
      </w:r>
      <w:r w:rsidRPr="00F039F7">
        <w:rPr>
          <w:rFonts w:eastAsia="Open Sans"/>
          <w:szCs w:val="20"/>
          <w:lang w:val="fr-FR"/>
        </w:rPr>
        <w:t xml:space="preserve">adre de travail sur les opportunités est un instrument évolutif conçu pour aider les parties prenantes à adapter leurs interventions afin de répondre aux besoins spécifiques des pays pour renforcer les conditions favorables à l'avancement de réformes et de garantie de tenure. Les efforts futurs continueront à mettre à jour et à affiner périodiquement les méthodes et les évaluations du </w:t>
      </w:r>
      <w:r>
        <w:rPr>
          <w:rFonts w:eastAsia="Open Sans"/>
          <w:szCs w:val="20"/>
          <w:lang w:val="fr-FR"/>
        </w:rPr>
        <w:t>C</w:t>
      </w:r>
      <w:r w:rsidRPr="00F039F7">
        <w:rPr>
          <w:rFonts w:eastAsia="Open Sans"/>
          <w:szCs w:val="20"/>
          <w:lang w:val="fr-FR"/>
        </w:rPr>
        <w:t xml:space="preserve">adre de travail sur les opportunités afin de refléter l'évolution des opportunités pour faire progresser les droits de tenure forestière des </w:t>
      </w:r>
      <w:r>
        <w:rPr>
          <w:rFonts w:eastAsia="Open Sans"/>
          <w:szCs w:val="20"/>
          <w:lang w:val="fr-FR"/>
        </w:rPr>
        <w:t>peuples</w:t>
      </w:r>
      <w:r w:rsidRPr="00F039F7">
        <w:rPr>
          <w:rFonts w:eastAsia="Open Sans"/>
          <w:szCs w:val="20"/>
          <w:lang w:val="fr-FR"/>
        </w:rPr>
        <w:t xml:space="preserve"> autochtones, des </w:t>
      </w:r>
      <w:r>
        <w:rPr>
          <w:rFonts w:eastAsia="Open Sans"/>
          <w:szCs w:val="20"/>
          <w:lang w:val="fr-FR"/>
        </w:rPr>
        <w:t>peuples afro-descendants</w:t>
      </w:r>
      <w:r w:rsidRPr="00F039F7">
        <w:rPr>
          <w:rFonts w:eastAsia="Open Sans"/>
          <w:szCs w:val="20"/>
          <w:lang w:val="fr-FR"/>
        </w:rPr>
        <w:t xml:space="preserve"> et des communautés locales.</w:t>
      </w:r>
    </w:p>
    <w:p w14:paraId="1B198751" w14:textId="3CFD3012" w:rsidR="00BA5AC0" w:rsidRPr="00F505FE" w:rsidRDefault="00BA5AC0" w:rsidP="001E07A0">
      <w:pPr>
        <w:jc w:val="both"/>
      </w:pPr>
      <w:r>
        <w:br w:type="page"/>
      </w:r>
    </w:p>
    <w:p w14:paraId="5C3FC03B" w14:textId="0073391C" w:rsidR="005E201C" w:rsidRPr="00CF2BD0" w:rsidRDefault="0014428C" w:rsidP="00A22EC3">
      <w:pPr>
        <w:pStyle w:val="Heading1"/>
        <w:rPr>
          <w:sz w:val="22"/>
          <w:szCs w:val="21"/>
        </w:rPr>
      </w:pPr>
      <w:bookmarkStart w:id="21" w:name="_Toc88152155"/>
      <w:bookmarkStart w:id="22" w:name="_Toc88152361"/>
      <w:bookmarkStart w:id="23" w:name="_Toc89533352"/>
      <w:bookmarkStart w:id="24" w:name="_Toc103688942"/>
      <w:r w:rsidRPr="00CF2BD0">
        <w:rPr>
          <w:rFonts w:eastAsia="Open Sans Semibold"/>
          <w:sz w:val="22"/>
          <w:lang w:val="fr-FR"/>
        </w:rPr>
        <w:lastRenderedPageBreak/>
        <w:t>A propos de l'initiative des droits et ressources</w:t>
      </w:r>
      <w:bookmarkEnd w:id="21"/>
      <w:bookmarkEnd w:id="22"/>
      <w:bookmarkEnd w:id="23"/>
      <w:bookmarkEnd w:id="24"/>
    </w:p>
    <w:p w14:paraId="14BE8189" w14:textId="77A52F98" w:rsidR="002B6ED4" w:rsidRPr="00CF2BD0" w:rsidRDefault="0014428C" w:rsidP="00EF5FFF">
      <w:pPr>
        <w:jc w:val="both"/>
        <w:rPr>
          <w:sz w:val="18"/>
          <w:szCs w:val="21"/>
        </w:rPr>
      </w:pPr>
      <w:bookmarkStart w:id="25" w:name="_Hlk45028055"/>
      <w:r w:rsidRPr="00CF2BD0">
        <w:rPr>
          <w:rFonts w:eastAsia="Open Sans"/>
          <w:sz w:val="18"/>
          <w:szCs w:val="18"/>
          <w:shd w:val="clear" w:color="auto" w:fill="FFFFFF"/>
          <w:lang w:val="fr-FR"/>
        </w:rPr>
        <w:t>L'Initiative des droits et ressources est une coalition mondiale de 21 partenaires et de plus de 150 organisations de détenteurs de droits et leurs alliés, qui se consacrent à la promotion des droits aux forêts et aux ressources des populations autochtones, des populations d'ascendance africaine, des communautés locales et des femmes de ces communautés. Les membres tirent parti des forces, de l’expertise et de la portée géographique de chacun pour trouver des solutions plus efficaces. RRI utilise la puissance de sa Coalition mondiale pour amplifier la voix des populations locales et engager de manière proactive les gouvernements, les institutions multilatérales et les acteurs du secteur privé à adopter des réformes institutionnelles et de marché qui soutiennent la réalisation de leurs droits et leur développement autodéterminé.  En faisant progresser une compréhension stratégique des menaces et des opportunités mondiales résultant de l'insécurité des droits sur les territoires et les ressources, RRI développe et promeut des approches des affaires et du développement basées sur les droits et catalyse des solutions efficaces pour étendre la réforme de la tenure rurale et améliorer la gouvernance durable des ressources.</w:t>
      </w:r>
    </w:p>
    <w:p w14:paraId="6B7C2009" w14:textId="0C1648E9" w:rsidR="002B6ED4" w:rsidRPr="00CF2BD0" w:rsidRDefault="0014428C" w:rsidP="00A71AAE">
      <w:pPr>
        <w:jc w:val="both"/>
        <w:rPr>
          <w:sz w:val="18"/>
          <w:szCs w:val="21"/>
        </w:rPr>
      </w:pPr>
      <w:r w:rsidRPr="00CF2BD0">
        <w:rPr>
          <w:rFonts w:eastAsia="Open Sans"/>
          <w:sz w:val="18"/>
          <w:szCs w:val="18"/>
          <w:lang w:val="fr-FR"/>
        </w:rPr>
        <w:t>RRI est coordonnée par le Groupe des droits et ressources, une organisation à but non lucratif basée à Washington, D.C. Pour plus d’informations, consultez</w:t>
      </w:r>
      <w:r w:rsidR="002B6ED4" w:rsidRPr="00CF2BD0">
        <w:rPr>
          <w:sz w:val="18"/>
          <w:szCs w:val="21"/>
        </w:rPr>
        <w:t xml:space="preserve"> </w:t>
      </w:r>
      <w:hyperlink r:id="rId11" w:history="1">
        <w:r w:rsidRPr="00CF2BD0">
          <w:rPr>
            <w:rStyle w:val="Hyperlink"/>
            <w:sz w:val="18"/>
            <w:szCs w:val="21"/>
          </w:rPr>
          <w:t>www.rightsandresources.org/fr/</w:t>
        </w:r>
      </w:hyperlink>
      <w:r w:rsidR="002B6ED4" w:rsidRPr="00CF2BD0">
        <w:rPr>
          <w:sz w:val="18"/>
          <w:szCs w:val="21"/>
        </w:rPr>
        <w:t>.</w:t>
      </w:r>
      <w:bookmarkEnd w:id="25"/>
      <w:r w:rsidR="002B6ED4" w:rsidRPr="00CF2BD0">
        <w:rPr>
          <w:sz w:val="18"/>
          <w:szCs w:val="21"/>
        </w:rPr>
        <w:t xml:space="preserve"> </w:t>
      </w:r>
    </w:p>
    <w:p w14:paraId="13E5ED1D" w14:textId="77777777" w:rsidR="00DC4FD8" w:rsidRDefault="00DC4FD8" w:rsidP="00A22EC3">
      <w:r>
        <w:rPr>
          <w:noProof/>
        </w:rPr>
        <w:drawing>
          <wp:inline distT="0" distB="0" distL="0" distR="0" wp14:anchorId="5044EF2A" wp14:editId="7F98050E">
            <wp:extent cx="5715000" cy="495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divider.png"/>
                    <pic:cNvPicPr/>
                  </pic:nvPicPr>
                  <pic:blipFill>
                    <a:blip r:embed="rId9">
                      <a:extLst>
                        <a:ext uri="{28A0092B-C50C-407E-A947-70E740481C1C}">
                          <a14:useLocalDpi xmlns:a14="http://schemas.microsoft.com/office/drawing/2010/main" val="0"/>
                        </a:ext>
                      </a:extLst>
                    </a:blip>
                    <a:stretch>
                      <a:fillRect/>
                    </a:stretch>
                  </pic:blipFill>
                  <pic:spPr>
                    <a:xfrm>
                      <a:off x="0" y="0"/>
                      <a:ext cx="5715000" cy="495300"/>
                    </a:xfrm>
                    <a:prstGeom prst="rect">
                      <a:avLst/>
                    </a:prstGeom>
                  </pic:spPr>
                </pic:pic>
              </a:graphicData>
            </a:graphic>
          </wp:inline>
        </w:drawing>
      </w:r>
    </w:p>
    <w:p w14:paraId="76C61E1D" w14:textId="7B5E5B23" w:rsidR="003E6BD5" w:rsidRDefault="003E6BD5" w:rsidP="00DC4FD8">
      <w:pPr>
        <w:pStyle w:val="Heading2"/>
        <w:spacing w:before="120"/>
      </w:pPr>
      <w:bookmarkStart w:id="26" w:name="_Toc88152156"/>
      <w:bookmarkStart w:id="27" w:name="_Toc88152362"/>
      <w:bookmarkStart w:id="28" w:name="_Toc103688943"/>
      <w:proofErr w:type="spellStart"/>
      <w:r>
        <w:t>Part</w:t>
      </w:r>
      <w:r w:rsidR="00CF2BD0">
        <w:t>e</w:t>
      </w:r>
      <w:r>
        <w:t>n</w:t>
      </w:r>
      <w:r w:rsidR="00CF2BD0">
        <w:t>ai</w:t>
      </w:r>
      <w:r>
        <w:t>r</w:t>
      </w:r>
      <w:r w:rsidR="00CF2BD0">
        <w:t>e</w:t>
      </w:r>
      <w:r>
        <w:t>s</w:t>
      </w:r>
      <w:bookmarkEnd w:id="26"/>
      <w:bookmarkEnd w:id="27"/>
      <w:bookmarkEnd w:id="28"/>
      <w:proofErr w:type="spellEnd"/>
    </w:p>
    <w:p w14:paraId="297E41A9" w14:textId="73251B7A" w:rsidR="003E6BD5" w:rsidRDefault="00296E8C" w:rsidP="00A22EC3">
      <w:r>
        <w:rPr>
          <w:noProof/>
        </w:rPr>
        <w:drawing>
          <wp:inline distT="0" distB="0" distL="0" distR="0" wp14:anchorId="719C0098" wp14:editId="0E09B134">
            <wp:extent cx="5612389" cy="2101850"/>
            <wp:effectExtent l="0" t="0" r="7620" b="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463" cy="2116483"/>
                    </a:xfrm>
                    <a:prstGeom prst="rect">
                      <a:avLst/>
                    </a:prstGeom>
                  </pic:spPr>
                </pic:pic>
              </a:graphicData>
            </a:graphic>
          </wp:inline>
        </w:drawing>
      </w:r>
    </w:p>
    <w:p w14:paraId="359C2922" w14:textId="659009B0" w:rsidR="00294B26" w:rsidRDefault="00CF2BD0" w:rsidP="00DC4FD8">
      <w:pPr>
        <w:pStyle w:val="Heading2"/>
        <w:spacing w:before="360" w:after="120"/>
      </w:pPr>
      <w:bookmarkStart w:id="29" w:name="_Toc103688944"/>
      <w:proofErr w:type="spellStart"/>
      <w:r>
        <w:t>Bailleurs</w:t>
      </w:r>
      <w:proofErr w:type="spellEnd"/>
      <w:r>
        <w:t xml:space="preserve"> de fonds</w:t>
      </w:r>
      <w:bookmarkEnd w:id="29"/>
    </w:p>
    <w:p w14:paraId="42E2C19D" w14:textId="77777777" w:rsidR="00DC4FD8" w:rsidRPr="001603BE" w:rsidRDefault="00A73ED9" w:rsidP="00A22EC3">
      <w:r>
        <w:rPr>
          <w:noProof/>
        </w:rPr>
        <w:drawing>
          <wp:inline distT="0" distB="0" distL="0" distR="0" wp14:anchorId="01A4873F" wp14:editId="1FE524A6">
            <wp:extent cx="5943600" cy="7797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RI Paper Template Sponsors Logos-20.02.14.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779780"/>
                    </a:xfrm>
                    <a:prstGeom prst="rect">
                      <a:avLst/>
                    </a:prstGeom>
                  </pic:spPr>
                </pic:pic>
              </a:graphicData>
            </a:graphic>
          </wp:inline>
        </w:drawing>
      </w:r>
    </w:p>
    <w:p w14:paraId="102A69B9" w14:textId="7F6753A8" w:rsidR="003E6BD5" w:rsidRPr="00CF2BD0" w:rsidRDefault="00CF2BD0" w:rsidP="00A71AAE">
      <w:pPr>
        <w:jc w:val="both"/>
        <w:rPr>
          <w:i/>
          <w:sz w:val="18"/>
          <w:szCs w:val="21"/>
        </w:rPr>
      </w:pPr>
      <w:r w:rsidRPr="00CF2BD0">
        <w:rPr>
          <w:i/>
          <w:sz w:val="18"/>
          <w:szCs w:val="21"/>
        </w:rPr>
        <w:t xml:space="preserve">Les opinions </w:t>
      </w:r>
      <w:proofErr w:type="spellStart"/>
      <w:r w:rsidRPr="00CF2BD0">
        <w:rPr>
          <w:i/>
          <w:sz w:val="18"/>
          <w:szCs w:val="21"/>
        </w:rPr>
        <w:t>présentées</w:t>
      </w:r>
      <w:proofErr w:type="spellEnd"/>
      <w:r w:rsidRPr="00CF2BD0">
        <w:rPr>
          <w:i/>
          <w:sz w:val="18"/>
          <w:szCs w:val="21"/>
        </w:rPr>
        <w:t xml:space="preserve"> </w:t>
      </w:r>
      <w:proofErr w:type="spellStart"/>
      <w:r w:rsidRPr="00CF2BD0">
        <w:rPr>
          <w:i/>
          <w:sz w:val="18"/>
          <w:szCs w:val="21"/>
        </w:rPr>
        <w:t>ici</w:t>
      </w:r>
      <w:proofErr w:type="spellEnd"/>
      <w:r w:rsidRPr="00CF2BD0">
        <w:rPr>
          <w:i/>
          <w:sz w:val="18"/>
          <w:szCs w:val="21"/>
        </w:rPr>
        <w:t xml:space="preserve"> ne </w:t>
      </w:r>
      <w:proofErr w:type="spellStart"/>
      <w:r w:rsidRPr="00CF2BD0">
        <w:rPr>
          <w:i/>
          <w:sz w:val="18"/>
          <w:szCs w:val="21"/>
        </w:rPr>
        <w:t>sont</w:t>
      </w:r>
      <w:proofErr w:type="spellEnd"/>
      <w:r w:rsidRPr="00CF2BD0">
        <w:rPr>
          <w:i/>
          <w:sz w:val="18"/>
          <w:szCs w:val="21"/>
        </w:rPr>
        <w:t xml:space="preserve"> pas </w:t>
      </w:r>
      <w:proofErr w:type="spellStart"/>
      <w:r w:rsidRPr="00CF2BD0">
        <w:rPr>
          <w:i/>
          <w:sz w:val="18"/>
          <w:szCs w:val="21"/>
        </w:rPr>
        <w:t>nécessairement</w:t>
      </w:r>
      <w:proofErr w:type="spellEnd"/>
      <w:r w:rsidRPr="00CF2BD0">
        <w:rPr>
          <w:i/>
          <w:sz w:val="18"/>
          <w:szCs w:val="21"/>
        </w:rPr>
        <w:t xml:space="preserve"> </w:t>
      </w:r>
      <w:proofErr w:type="spellStart"/>
      <w:r w:rsidRPr="00CF2BD0">
        <w:rPr>
          <w:i/>
          <w:sz w:val="18"/>
          <w:szCs w:val="21"/>
        </w:rPr>
        <w:t>partagées</w:t>
      </w:r>
      <w:proofErr w:type="spellEnd"/>
      <w:r w:rsidRPr="00CF2BD0">
        <w:rPr>
          <w:i/>
          <w:sz w:val="18"/>
          <w:szCs w:val="21"/>
        </w:rPr>
        <w:t xml:space="preserve"> par les </w:t>
      </w:r>
      <w:proofErr w:type="spellStart"/>
      <w:r w:rsidRPr="00CF2BD0">
        <w:rPr>
          <w:i/>
          <w:sz w:val="18"/>
          <w:szCs w:val="21"/>
        </w:rPr>
        <w:t>agences</w:t>
      </w:r>
      <w:proofErr w:type="spellEnd"/>
      <w:r w:rsidRPr="00CF2BD0">
        <w:rPr>
          <w:i/>
          <w:sz w:val="18"/>
          <w:szCs w:val="21"/>
        </w:rPr>
        <w:t xml:space="preserve"> qui </w:t>
      </w:r>
      <w:proofErr w:type="spellStart"/>
      <w:r w:rsidRPr="00CF2BD0">
        <w:rPr>
          <w:i/>
          <w:sz w:val="18"/>
          <w:szCs w:val="21"/>
        </w:rPr>
        <w:t>ont</w:t>
      </w:r>
      <w:proofErr w:type="spellEnd"/>
      <w:r w:rsidRPr="00CF2BD0">
        <w:rPr>
          <w:i/>
          <w:sz w:val="18"/>
          <w:szCs w:val="21"/>
        </w:rPr>
        <w:t xml:space="preserve"> </w:t>
      </w:r>
      <w:proofErr w:type="spellStart"/>
      <w:r w:rsidRPr="00CF2BD0">
        <w:rPr>
          <w:i/>
          <w:sz w:val="18"/>
          <w:szCs w:val="21"/>
        </w:rPr>
        <w:t>généreusement</w:t>
      </w:r>
      <w:proofErr w:type="spellEnd"/>
      <w:r w:rsidRPr="00CF2BD0">
        <w:rPr>
          <w:i/>
          <w:sz w:val="18"/>
          <w:szCs w:val="21"/>
        </w:rPr>
        <w:t xml:space="preserve"> soutenu </w:t>
      </w:r>
      <w:proofErr w:type="spellStart"/>
      <w:r w:rsidRPr="00CF2BD0">
        <w:rPr>
          <w:i/>
          <w:sz w:val="18"/>
          <w:szCs w:val="21"/>
        </w:rPr>
        <w:t>ce</w:t>
      </w:r>
      <w:proofErr w:type="spellEnd"/>
      <w:r w:rsidRPr="00CF2BD0">
        <w:rPr>
          <w:i/>
          <w:sz w:val="18"/>
          <w:szCs w:val="21"/>
        </w:rPr>
        <w:t xml:space="preserve"> travail. Ce travail </w:t>
      </w:r>
      <w:proofErr w:type="spellStart"/>
      <w:r w:rsidRPr="00CF2BD0">
        <w:rPr>
          <w:i/>
          <w:sz w:val="18"/>
          <w:szCs w:val="21"/>
        </w:rPr>
        <w:t>est</w:t>
      </w:r>
      <w:proofErr w:type="spellEnd"/>
      <w:r w:rsidRPr="00CF2BD0">
        <w:rPr>
          <w:i/>
          <w:sz w:val="18"/>
          <w:szCs w:val="21"/>
        </w:rPr>
        <w:t xml:space="preserve"> </w:t>
      </w:r>
      <w:proofErr w:type="spellStart"/>
      <w:r w:rsidRPr="00CF2BD0">
        <w:rPr>
          <w:i/>
          <w:sz w:val="18"/>
          <w:szCs w:val="21"/>
        </w:rPr>
        <w:t>autorisé</w:t>
      </w:r>
      <w:proofErr w:type="spellEnd"/>
      <w:r w:rsidRPr="00CF2BD0">
        <w:rPr>
          <w:i/>
          <w:sz w:val="18"/>
          <w:szCs w:val="21"/>
        </w:rPr>
        <w:t xml:space="preserve"> sous </w:t>
      </w:r>
      <w:proofErr w:type="spellStart"/>
      <w:r w:rsidRPr="00CF2BD0">
        <w:rPr>
          <w:i/>
          <w:sz w:val="18"/>
          <w:szCs w:val="21"/>
        </w:rPr>
        <w:t>une</w:t>
      </w:r>
      <w:proofErr w:type="spellEnd"/>
      <w:r w:rsidRPr="00CF2BD0">
        <w:rPr>
          <w:i/>
          <w:sz w:val="18"/>
          <w:szCs w:val="21"/>
        </w:rPr>
        <w:t xml:space="preserve"> </w:t>
      </w:r>
      <w:proofErr w:type="spellStart"/>
      <w:r w:rsidRPr="00CF2BD0">
        <w:rPr>
          <w:i/>
          <w:sz w:val="18"/>
          <w:szCs w:val="21"/>
        </w:rPr>
        <w:t>licence</w:t>
      </w:r>
      <w:proofErr w:type="spellEnd"/>
      <w:r w:rsidRPr="00CF2BD0">
        <w:rPr>
          <w:i/>
          <w:sz w:val="18"/>
          <w:szCs w:val="21"/>
        </w:rPr>
        <w:t xml:space="preserve"> Creative Commons Attribution License CC BY 4.0.</w:t>
      </w:r>
    </w:p>
    <w:sectPr w:rsidR="003E6BD5" w:rsidRPr="00CF2BD0" w:rsidSect="00673913">
      <w:footerReference w:type="default" r:id="rId14"/>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320B" w14:textId="77777777" w:rsidR="00A70F32" w:rsidRDefault="00A70F32" w:rsidP="0077388F">
      <w:pPr>
        <w:spacing w:before="0" w:after="0" w:line="240" w:lineRule="auto"/>
      </w:pPr>
      <w:r>
        <w:separator/>
      </w:r>
    </w:p>
  </w:endnote>
  <w:endnote w:type="continuationSeparator" w:id="0">
    <w:p w14:paraId="0BC28787" w14:textId="77777777" w:rsidR="00A70F32" w:rsidRDefault="00A70F32" w:rsidP="00773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Libre Baskerville">
    <w:altName w:val="Calibri"/>
    <w:panose1 w:val="02000000000000000000"/>
    <w:charset w:val="00"/>
    <w:family w:val="auto"/>
    <w:pitch w:val="variable"/>
    <w:sig w:usb0="A00000BF" w:usb1="5000005B" w:usb2="00000000" w:usb3="00000000" w:csb0="00000093"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6"/>
        <w:szCs w:val="16"/>
      </w:rPr>
      <w:id w:val="-615530826"/>
      <w:docPartObj>
        <w:docPartGallery w:val="Page Numbers (Bottom of Page)"/>
        <w:docPartUnique/>
      </w:docPartObj>
    </w:sdtPr>
    <w:sdtEndPr>
      <w:rPr>
        <w:noProof/>
      </w:rPr>
    </w:sdtEndPr>
    <w:sdtContent>
      <w:p w14:paraId="0C2FE8F9" w14:textId="77777777" w:rsidR="006D2EC7" w:rsidRDefault="006D2EC7" w:rsidP="006D2EC7">
        <w:pPr>
          <w:pStyle w:val="Footer"/>
          <w:jc w:val="center"/>
          <w:rPr>
            <w:i/>
            <w:sz w:val="16"/>
            <w:szCs w:val="16"/>
          </w:rPr>
        </w:pPr>
      </w:p>
      <w:p w14:paraId="250945B7" w14:textId="77777777" w:rsidR="005E7696" w:rsidRPr="006D2EC7" w:rsidRDefault="005E7696" w:rsidP="006D2EC7">
        <w:pPr>
          <w:pStyle w:val="Footer"/>
          <w:jc w:val="center"/>
          <w:rPr>
            <w:i/>
            <w:sz w:val="16"/>
            <w:szCs w:val="16"/>
          </w:rPr>
        </w:pPr>
      </w:p>
      <w:p w14:paraId="6FC44C3A" w14:textId="0139646C" w:rsidR="004B1A7D" w:rsidRPr="006D2EC7" w:rsidRDefault="00681E65" w:rsidP="00681E65">
        <w:pPr>
          <w:pStyle w:val="Footer"/>
          <w:tabs>
            <w:tab w:val="left" w:pos="4530"/>
          </w:tabs>
          <w:rPr>
            <w:i/>
            <w:sz w:val="16"/>
            <w:szCs w:val="16"/>
          </w:rPr>
        </w:pPr>
        <w:r w:rsidRPr="006D2EC7">
          <w:rPr>
            <w:i/>
            <w:sz w:val="16"/>
            <w:szCs w:val="16"/>
          </w:rPr>
          <w:tab/>
        </w:r>
        <w:r w:rsidR="006D2EC7" w:rsidRPr="006D2EC7">
          <w:rPr>
            <w:color w:val="545454"/>
            <w:sz w:val="16"/>
            <w:szCs w:val="16"/>
            <w:shd w:val="clear" w:color="auto" w:fill="FFFFFF"/>
          </w:rPr>
          <w:t>–</w:t>
        </w:r>
        <w:r w:rsidRPr="006D2EC7">
          <w:rPr>
            <w:color w:val="545454"/>
            <w:sz w:val="16"/>
            <w:szCs w:val="16"/>
            <w:shd w:val="clear" w:color="auto" w:fill="FFFFFF"/>
          </w:rPr>
          <w:t xml:space="preserve"> </w:t>
        </w:r>
        <w:r w:rsidR="004B1A7D" w:rsidRPr="006D2EC7">
          <w:rPr>
            <w:sz w:val="16"/>
            <w:szCs w:val="16"/>
          </w:rPr>
          <w:fldChar w:fldCharType="begin"/>
        </w:r>
        <w:r w:rsidR="004B1A7D" w:rsidRPr="006D2EC7">
          <w:rPr>
            <w:sz w:val="16"/>
            <w:szCs w:val="16"/>
          </w:rPr>
          <w:instrText xml:space="preserve"> PAGE   \* MERGEFORMAT </w:instrText>
        </w:r>
        <w:r w:rsidR="004B1A7D" w:rsidRPr="006D2EC7">
          <w:rPr>
            <w:sz w:val="16"/>
            <w:szCs w:val="16"/>
          </w:rPr>
          <w:fldChar w:fldCharType="separate"/>
        </w:r>
        <w:r w:rsidR="00C03BDD">
          <w:rPr>
            <w:noProof/>
            <w:sz w:val="16"/>
            <w:szCs w:val="16"/>
          </w:rPr>
          <w:t>5</w:t>
        </w:r>
        <w:r w:rsidR="004B1A7D" w:rsidRPr="006D2EC7">
          <w:rPr>
            <w:noProof/>
            <w:sz w:val="16"/>
            <w:szCs w:val="16"/>
          </w:rPr>
          <w:fldChar w:fldCharType="end"/>
        </w:r>
        <w:r w:rsidRPr="006D2EC7">
          <w:rPr>
            <w:color w:val="545454"/>
            <w:sz w:val="16"/>
            <w:szCs w:val="16"/>
            <w:shd w:val="clear" w:color="auto" w:fill="FFFFFF"/>
          </w:rPr>
          <w:t xml:space="preserve"> </w:t>
        </w:r>
        <w:r w:rsidR="006D2EC7" w:rsidRPr="006D2EC7">
          <w:rPr>
            <w:color w:val="545454"/>
            <w:sz w:val="16"/>
            <w:szCs w:val="16"/>
            <w:shd w:val="clear" w:color="auto" w:fill="FFFFFF"/>
          </w:rPr>
          <w:t>–</w:t>
        </w:r>
      </w:p>
    </w:sdtContent>
  </w:sdt>
  <w:p w14:paraId="58AD499A" w14:textId="77777777" w:rsidR="0077388F" w:rsidRPr="006D2EC7" w:rsidRDefault="0077388F">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63A3" w14:textId="77777777" w:rsidR="00A70F32" w:rsidRDefault="00A70F32" w:rsidP="0077388F">
      <w:pPr>
        <w:spacing w:before="0" w:after="0" w:line="240" w:lineRule="auto"/>
      </w:pPr>
      <w:r>
        <w:separator/>
      </w:r>
    </w:p>
  </w:footnote>
  <w:footnote w:type="continuationSeparator" w:id="0">
    <w:p w14:paraId="3F712510" w14:textId="77777777" w:rsidR="00A70F32" w:rsidRDefault="00A70F32" w:rsidP="0077388F">
      <w:pPr>
        <w:spacing w:before="0" w:after="0" w:line="240" w:lineRule="auto"/>
      </w:pPr>
      <w:r>
        <w:continuationSeparator/>
      </w:r>
    </w:p>
  </w:footnote>
  <w:footnote w:id="1">
    <w:p w14:paraId="7B6F8CC8" w14:textId="77777777" w:rsidR="00D51667" w:rsidRPr="00F039F7" w:rsidRDefault="00D51667" w:rsidP="00D51667">
      <w:pPr>
        <w:pStyle w:val="FootnoteText"/>
        <w:jc w:val="both"/>
        <w:rPr>
          <w:rFonts w:ascii="Open Sans" w:hAnsi="Open Sans" w:cs="Open Sans"/>
          <w:sz w:val="16"/>
          <w:szCs w:val="16"/>
          <w:lang w:val="fr-FR"/>
        </w:rPr>
      </w:pPr>
      <w:r w:rsidRPr="00201CB9">
        <w:rPr>
          <w:rStyle w:val="FootnoteReference"/>
          <w:rFonts w:ascii="Open Sans" w:hAnsi="Open Sans" w:cs="Open Sans"/>
          <w:sz w:val="16"/>
          <w:szCs w:val="16"/>
        </w:rPr>
        <w:footnoteRef/>
      </w:r>
      <w:r>
        <w:rPr>
          <w:rFonts w:ascii="Open Sans" w:eastAsia="Open Sans" w:hAnsi="Open Sans" w:cs="Open Sans"/>
          <w:sz w:val="16"/>
          <w:szCs w:val="16"/>
          <w:lang w:val="fr-FR"/>
        </w:rPr>
        <w:t xml:space="preserve"> Un régime foncier communautaire (RFC) est un ensemble distinct de lois et de règlements nationaux, émis par l'État, qui régit « toutes les situations dans lesquelles le droit de posséder ou de gérer des ressources naturelles terrestres est détenu au niveau communautaire. »</w:t>
      </w:r>
    </w:p>
  </w:footnote>
  <w:footnote w:id="2">
    <w:p w14:paraId="0178C115" w14:textId="77777777" w:rsidR="00D51667" w:rsidRPr="00B10B8C" w:rsidRDefault="00D51667" w:rsidP="00D51667">
      <w:pPr>
        <w:pStyle w:val="FootnoteText"/>
        <w:rPr>
          <w:rFonts w:ascii="Open Sans" w:hAnsi="Open Sans" w:cs="Open Sans"/>
          <w:sz w:val="16"/>
          <w:szCs w:val="16"/>
          <w:lang w:val="fr-CA"/>
        </w:rPr>
      </w:pPr>
      <w:r w:rsidRPr="00B10B8C">
        <w:rPr>
          <w:rStyle w:val="FootnoteReference"/>
          <w:rFonts w:ascii="Open Sans" w:hAnsi="Open Sans" w:cs="Open Sans"/>
          <w:sz w:val="16"/>
          <w:szCs w:val="16"/>
        </w:rPr>
        <w:footnoteRef/>
      </w:r>
      <w:r w:rsidRPr="00B10B8C">
        <w:rPr>
          <w:rFonts w:ascii="Open Sans" w:eastAsia="Open Sans" w:hAnsi="Open Sans" w:cs="Open Sans"/>
          <w:sz w:val="16"/>
          <w:szCs w:val="16"/>
          <w:lang w:val="fr-FR"/>
        </w:rPr>
        <w:t xml:space="preserve"> Initiative des droits et ressources. 2018. À la croisée des chemins : Tendances consécutives à la reconnaissance de la tenure forestière communautaire de 2002 à 2017. </w:t>
      </w:r>
      <w:r w:rsidRPr="00B10B8C">
        <w:rPr>
          <w:rFonts w:ascii="Open Sans" w:eastAsia="Open Sans" w:hAnsi="Open Sans" w:cs="Open Sans"/>
          <w:sz w:val="16"/>
          <w:szCs w:val="16"/>
          <w:lang w:val="fr-CA"/>
        </w:rPr>
        <w:t xml:space="preserve">Initiative des droits et ressources, Washington, DC. Voir </w:t>
      </w:r>
      <w:hyperlink w:history="1"/>
      <w:r w:rsidRPr="00B10B8C">
        <w:rPr>
          <w:rFonts w:ascii="Open Sans" w:eastAsia="Open Sans" w:hAnsi="Open Sans" w:cs="Open Sans"/>
          <w:sz w:val="16"/>
          <w:szCs w:val="16"/>
          <w:lang w:val="fr-CA"/>
        </w:rPr>
        <w:t xml:space="preserve"> également : </w:t>
      </w:r>
      <w:hyperlink r:id="rId1" w:history="1">
        <w:r w:rsidRPr="00B10B8C">
          <w:rPr>
            <w:rStyle w:val="Hyperlink"/>
            <w:rFonts w:ascii="Open Sans" w:hAnsi="Open Sans" w:cs="Open Sans"/>
            <w:sz w:val="16"/>
            <w:szCs w:val="16"/>
            <w:lang w:val="fr-CA"/>
          </w:rPr>
          <w:t>https://rightsandresources.org/tenure-tracking/forest-and-land-tenure/</w:t>
        </w:r>
      </w:hyperlink>
      <w:r w:rsidRPr="00B10B8C">
        <w:rPr>
          <w:rFonts w:ascii="Open Sans" w:eastAsia="Open Sans" w:hAnsi="Open Sans" w:cs="Open Sans"/>
          <w:sz w:val="16"/>
          <w:szCs w:val="16"/>
          <w:lang w:val="fr-CA"/>
        </w:rPr>
        <w:t>.</w:t>
      </w:r>
    </w:p>
  </w:footnote>
  <w:footnote w:id="3">
    <w:p w14:paraId="445BD4D8" w14:textId="77777777" w:rsidR="008610BC" w:rsidRPr="00F039F7" w:rsidRDefault="008610BC" w:rsidP="008610BC">
      <w:pPr>
        <w:pStyle w:val="FootnoteText"/>
        <w:jc w:val="both"/>
        <w:rPr>
          <w:rFonts w:ascii="Open Sans" w:hAnsi="Open Sans" w:cs="Open Sans"/>
          <w:sz w:val="16"/>
          <w:szCs w:val="16"/>
          <w:lang w:val="fr-FR"/>
        </w:rPr>
      </w:pPr>
      <w:r w:rsidRPr="00201CB9">
        <w:rPr>
          <w:rStyle w:val="FootnoteReference"/>
          <w:rFonts w:ascii="Open Sans" w:hAnsi="Open Sans" w:cs="Open Sans"/>
          <w:sz w:val="16"/>
          <w:szCs w:val="16"/>
        </w:rPr>
        <w:footnoteRef/>
      </w:r>
      <w:r>
        <w:rPr>
          <w:rFonts w:ascii="Open Sans" w:eastAsia="Open Sans" w:hAnsi="Open Sans" w:cs="Open Sans"/>
          <w:sz w:val="16"/>
          <w:szCs w:val="16"/>
          <w:lang w:val="fr-FR"/>
        </w:rPr>
        <w:t xml:space="preserve"> Dans le cadre de cette évaluation, l'analyse juridique de la Guyane française tient compte des lois nationales et des engagements internationaux pris par la France, le cas échéant.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136"/>
    <w:multiLevelType w:val="hybridMultilevel"/>
    <w:tmpl w:val="806E6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BD2"/>
    <w:multiLevelType w:val="hybridMultilevel"/>
    <w:tmpl w:val="E554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42C"/>
    <w:multiLevelType w:val="hybridMultilevel"/>
    <w:tmpl w:val="B49E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259CC"/>
    <w:multiLevelType w:val="hybridMultilevel"/>
    <w:tmpl w:val="53C2C8BC"/>
    <w:lvl w:ilvl="0" w:tplc="7BFAB3B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62BF8"/>
    <w:multiLevelType w:val="hybridMultilevel"/>
    <w:tmpl w:val="8C1CB7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48244F"/>
    <w:multiLevelType w:val="hybridMultilevel"/>
    <w:tmpl w:val="6728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52C5F"/>
    <w:multiLevelType w:val="hybridMultilevel"/>
    <w:tmpl w:val="BF88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A68EB"/>
    <w:multiLevelType w:val="hybridMultilevel"/>
    <w:tmpl w:val="87647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30990"/>
    <w:multiLevelType w:val="hybridMultilevel"/>
    <w:tmpl w:val="2CFAC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009503">
    <w:abstractNumId w:val="5"/>
  </w:num>
  <w:num w:numId="2" w16cid:durableId="833225659">
    <w:abstractNumId w:val="1"/>
  </w:num>
  <w:num w:numId="3" w16cid:durableId="1434479047">
    <w:abstractNumId w:val="6"/>
  </w:num>
  <w:num w:numId="4" w16cid:durableId="965964614">
    <w:abstractNumId w:val="2"/>
  </w:num>
  <w:num w:numId="5" w16cid:durableId="762065523">
    <w:abstractNumId w:val="4"/>
  </w:num>
  <w:num w:numId="6" w16cid:durableId="29233791">
    <w:abstractNumId w:val="8"/>
  </w:num>
  <w:num w:numId="7" w16cid:durableId="721945628">
    <w:abstractNumId w:val="3"/>
  </w:num>
  <w:num w:numId="8" w16cid:durableId="1688212346">
    <w:abstractNumId w:val="0"/>
  </w:num>
  <w:num w:numId="9" w16cid:durableId="44918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E9"/>
    <w:rsid w:val="00011021"/>
    <w:rsid w:val="0001202A"/>
    <w:rsid w:val="00030D6E"/>
    <w:rsid w:val="0003249A"/>
    <w:rsid w:val="00044D83"/>
    <w:rsid w:val="0006181A"/>
    <w:rsid w:val="00080722"/>
    <w:rsid w:val="0008753A"/>
    <w:rsid w:val="000A43AD"/>
    <w:rsid w:val="000D0E9D"/>
    <w:rsid w:val="0011015A"/>
    <w:rsid w:val="0012373F"/>
    <w:rsid w:val="001255DF"/>
    <w:rsid w:val="00126ADC"/>
    <w:rsid w:val="0014428C"/>
    <w:rsid w:val="00157E94"/>
    <w:rsid w:val="001603BE"/>
    <w:rsid w:val="001658CC"/>
    <w:rsid w:val="00173BF6"/>
    <w:rsid w:val="0018640E"/>
    <w:rsid w:val="00187606"/>
    <w:rsid w:val="00197B43"/>
    <w:rsid w:val="001B4150"/>
    <w:rsid w:val="001D00F8"/>
    <w:rsid w:val="001E07A0"/>
    <w:rsid w:val="001E4664"/>
    <w:rsid w:val="0020133C"/>
    <w:rsid w:val="00201CB9"/>
    <w:rsid w:val="00222A93"/>
    <w:rsid w:val="00223C00"/>
    <w:rsid w:val="00230436"/>
    <w:rsid w:val="00251D55"/>
    <w:rsid w:val="0025566D"/>
    <w:rsid w:val="00271076"/>
    <w:rsid w:val="00275ED9"/>
    <w:rsid w:val="00287B59"/>
    <w:rsid w:val="00294B26"/>
    <w:rsid w:val="00296E8C"/>
    <w:rsid w:val="002B6ED4"/>
    <w:rsid w:val="00311B09"/>
    <w:rsid w:val="003155B8"/>
    <w:rsid w:val="00326996"/>
    <w:rsid w:val="0033027E"/>
    <w:rsid w:val="00332CF4"/>
    <w:rsid w:val="00347320"/>
    <w:rsid w:val="00370D4F"/>
    <w:rsid w:val="00376077"/>
    <w:rsid w:val="003947EE"/>
    <w:rsid w:val="003D58CB"/>
    <w:rsid w:val="003E1291"/>
    <w:rsid w:val="003E6BD5"/>
    <w:rsid w:val="004022AC"/>
    <w:rsid w:val="00426D27"/>
    <w:rsid w:val="004271CA"/>
    <w:rsid w:val="00441828"/>
    <w:rsid w:val="00445366"/>
    <w:rsid w:val="00461DC9"/>
    <w:rsid w:val="004957DD"/>
    <w:rsid w:val="004B1A7D"/>
    <w:rsid w:val="004C2963"/>
    <w:rsid w:val="004C2F9B"/>
    <w:rsid w:val="004E7126"/>
    <w:rsid w:val="005076D2"/>
    <w:rsid w:val="00516674"/>
    <w:rsid w:val="005278D9"/>
    <w:rsid w:val="00544E24"/>
    <w:rsid w:val="00552242"/>
    <w:rsid w:val="00554939"/>
    <w:rsid w:val="0056225C"/>
    <w:rsid w:val="00563513"/>
    <w:rsid w:val="00566B91"/>
    <w:rsid w:val="00575A74"/>
    <w:rsid w:val="005818AA"/>
    <w:rsid w:val="005919EE"/>
    <w:rsid w:val="005A65A2"/>
    <w:rsid w:val="005C04B2"/>
    <w:rsid w:val="005E201C"/>
    <w:rsid w:val="005E7696"/>
    <w:rsid w:val="00603DA5"/>
    <w:rsid w:val="00607146"/>
    <w:rsid w:val="00616716"/>
    <w:rsid w:val="00673913"/>
    <w:rsid w:val="00681E65"/>
    <w:rsid w:val="00687BB4"/>
    <w:rsid w:val="006903B2"/>
    <w:rsid w:val="006A213A"/>
    <w:rsid w:val="006B1D05"/>
    <w:rsid w:val="006B42C8"/>
    <w:rsid w:val="006C04B8"/>
    <w:rsid w:val="006C4952"/>
    <w:rsid w:val="006C4B11"/>
    <w:rsid w:val="006D2EC7"/>
    <w:rsid w:val="006E1823"/>
    <w:rsid w:val="006F0F82"/>
    <w:rsid w:val="007012DB"/>
    <w:rsid w:val="00735DF6"/>
    <w:rsid w:val="00736E3F"/>
    <w:rsid w:val="00741926"/>
    <w:rsid w:val="007507FD"/>
    <w:rsid w:val="007513DD"/>
    <w:rsid w:val="00761E3B"/>
    <w:rsid w:val="0076686C"/>
    <w:rsid w:val="00772BE9"/>
    <w:rsid w:val="0077388F"/>
    <w:rsid w:val="00787D60"/>
    <w:rsid w:val="007E4469"/>
    <w:rsid w:val="007E6754"/>
    <w:rsid w:val="007F085D"/>
    <w:rsid w:val="00803FA9"/>
    <w:rsid w:val="00806F3A"/>
    <w:rsid w:val="008102C0"/>
    <w:rsid w:val="00811866"/>
    <w:rsid w:val="008168E6"/>
    <w:rsid w:val="00843D8D"/>
    <w:rsid w:val="00850E3F"/>
    <w:rsid w:val="00855508"/>
    <w:rsid w:val="008610BC"/>
    <w:rsid w:val="00865E25"/>
    <w:rsid w:val="008728E3"/>
    <w:rsid w:val="0087656A"/>
    <w:rsid w:val="0089657D"/>
    <w:rsid w:val="008B2202"/>
    <w:rsid w:val="008B67CE"/>
    <w:rsid w:val="008D3987"/>
    <w:rsid w:val="008D722D"/>
    <w:rsid w:val="008E0A71"/>
    <w:rsid w:val="008F73D1"/>
    <w:rsid w:val="00907072"/>
    <w:rsid w:val="00913C05"/>
    <w:rsid w:val="009245A4"/>
    <w:rsid w:val="009372C7"/>
    <w:rsid w:val="00965F07"/>
    <w:rsid w:val="00971B1A"/>
    <w:rsid w:val="009738ED"/>
    <w:rsid w:val="009776CF"/>
    <w:rsid w:val="00997E72"/>
    <w:rsid w:val="009A2278"/>
    <w:rsid w:val="009C0808"/>
    <w:rsid w:val="009C3054"/>
    <w:rsid w:val="009D1F38"/>
    <w:rsid w:val="009E4FB6"/>
    <w:rsid w:val="00A05624"/>
    <w:rsid w:val="00A16F1A"/>
    <w:rsid w:val="00A16F2C"/>
    <w:rsid w:val="00A217D3"/>
    <w:rsid w:val="00A22EC3"/>
    <w:rsid w:val="00A37F53"/>
    <w:rsid w:val="00A44449"/>
    <w:rsid w:val="00A52478"/>
    <w:rsid w:val="00A56A4E"/>
    <w:rsid w:val="00A61AD5"/>
    <w:rsid w:val="00A65F96"/>
    <w:rsid w:val="00A70F32"/>
    <w:rsid w:val="00A71AAE"/>
    <w:rsid w:val="00A73655"/>
    <w:rsid w:val="00A73ED9"/>
    <w:rsid w:val="00A76903"/>
    <w:rsid w:val="00A85093"/>
    <w:rsid w:val="00AA635E"/>
    <w:rsid w:val="00AF0050"/>
    <w:rsid w:val="00AF2D38"/>
    <w:rsid w:val="00B10B8C"/>
    <w:rsid w:val="00B352BD"/>
    <w:rsid w:val="00B50477"/>
    <w:rsid w:val="00B62CDE"/>
    <w:rsid w:val="00BA5AC0"/>
    <w:rsid w:val="00BB37E7"/>
    <w:rsid w:val="00BB6920"/>
    <w:rsid w:val="00BF735A"/>
    <w:rsid w:val="00C03BDD"/>
    <w:rsid w:val="00CA195F"/>
    <w:rsid w:val="00CA5FC0"/>
    <w:rsid w:val="00CE18C2"/>
    <w:rsid w:val="00CF2BD0"/>
    <w:rsid w:val="00D028B3"/>
    <w:rsid w:val="00D06C39"/>
    <w:rsid w:val="00D14D4E"/>
    <w:rsid w:val="00D320A0"/>
    <w:rsid w:val="00D33B10"/>
    <w:rsid w:val="00D402E5"/>
    <w:rsid w:val="00D45C32"/>
    <w:rsid w:val="00D51667"/>
    <w:rsid w:val="00D60048"/>
    <w:rsid w:val="00D60A70"/>
    <w:rsid w:val="00D76530"/>
    <w:rsid w:val="00D82A1D"/>
    <w:rsid w:val="00D9390A"/>
    <w:rsid w:val="00D96A5C"/>
    <w:rsid w:val="00DA002E"/>
    <w:rsid w:val="00DA7D53"/>
    <w:rsid w:val="00DC0964"/>
    <w:rsid w:val="00DC4FD8"/>
    <w:rsid w:val="00DC513C"/>
    <w:rsid w:val="00DD7288"/>
    <w:rsid w:val="00DD7B52"/>
    <w:rsid w:val="00E01AD2"/>
    <w:rsid w:val="00E3557C"/>
    <w:rsid w:val="00E36445"/>
    <w:rsid w:val="00E70428"/>
    <w:rsid w:val="00EA1F86"/>
    <w:rsid w:val="00EC702B"/>
    <w:rsid w:val="00EE0CBF"/>
    <w:rsid w:val="00EE2CAC"/>
    <w:rsid w:val="00EE4379"/>
    <w:rsid w:val="00EE54DD"/>
    <w:rsid w:val="00EF5FFF"/>
    <w:rsid w:val="00F04381"/>
    <w:rsid w:val="00F136CA"/>
    <w:rsid w:val="00F21596"/>
    <w:rsid w:val="00F505FE"/>
    <w:rsid w:val="00FA49A7"/>
    <w:rsid w:val="00FC695D"/>
    <w:rsid w:val="00FE3A33"/>
    <w:rsid w:val="00FF0A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6F62B"/>
  <w15:chartTrackingRefBased/>
  <w15:docId w15:val="{0F6CCE26-2805-4EDF-9E12-4051B8C8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02"/>
    <w:pPr>
      <w:shd w:val="clear" w:color="auto" w:fill="FFFFFF"/>
      <w:spacing w:before="240" w:after="240" w:line="276" w:lineRule="auto"/>
    </w:pPr>
    <w:rPr>
      <w:rFonts w:ascii="Open Sans" w:eastAsia="Times New Roman" w:hAnsi="Open Sans" w:cs="Open Sans"/>
      <w:color w:val="444444"/>
      <w:sz w:val="20"/>
    </w:rPr>
  </w:style>
  <w:style w:type="paragraph" w:styleId="Heading1">
    <w:name w:val="heading 1"/>
    <w:basedOn w:val="Normal"/>
    <w:next w:val="Normal"/>
    <w:link w:val="Heading1Char"/>
    <w:uiPriority w:val="9"/>
    <w:qFormat/>
    <w:rsid w:val="005919EE"/>
    <w:pPr>
      <w:outlineLvl w:val="0"/>
    </w:pPr>
    <w:rPr>
      <w:rFonts w:ascii="Open Sans Semibold" w:hAnsi="Open Sans Semibold" w:cs="Open Sans Semibold"/>
      <w:color w:val="49A146"/>
      <w:sz w:val="24"/>
    </w:rPr>
  </w:style>
  <w:style w:type="paragraph" w:styleId="Heading2">
    <w:name w:val="heading 2"/>
    <w:basedOn w:val="Normal"/>
    <w:next w:val="Normal"/>
    <w:link w:val="Heading2Char"/>
    <w:uiPriority w:val="9"/>
    <w:unhideWhenUsed/>
    <w:qFormat/>
    <w:rsid w:val="0025566D"/>
    <w:pPr>
      <w:outlineLvl w:val="1"/>
    </w:pPr>
    <w:rPr>
      <w:b/>
      <w:i/>
    </w:rPr>
  </w:style>
  <w:style w:type="paragraph" w:styleId="Heading3">
    <w:name w:val="heading 3"/>
    <w:basedOn w:val="TextunderHeading3"/>
    <w:next w:val="Normal"/>
    <w:link w:val="Heading3Char"/>
    <w:uiPriority w:val="9"/>
    <w:unhideWhenUsed/>
    <w:qFormat/>
    <w:rsid w:val="00673913"/>
    <w:pPr>
      <w:ind w:left="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BE9"/>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5919EE"/>
    <w:rPr>
      <w:rFonts w:ascii="Open Sans Semibold" w:eastAsia="Times New Roman" w:hAnsi="Open Sans Semibold" w:cs="Open Sans Semibold"/>
      <w:color w:val="49A146"/>
      <w:sz w:val="24"/>
      <w:shd w:val="clear" w:color="auto" w:fill="FFFFFF"/>
    </w:rPr>
  </w:style>
  <w:style w:type="paragraph" w:styleId="Title">
    <w:name w:val="Title"/>
    <w:basedOn w:val="Normal"/>
    <w:next w:val="Normal"/>
    <w:link w:val="TitleChar"/>
    <w:uiPriority w:val="10"/>
    <w:qFormat/>
    <w:rsid w:val="007507FD"/>
    <w:pPr>
      <w:spacing w:after="360"/>
    </w:pPr>
    <w:rPr>
      <w:rFonts w:ascii="Libre Baskerville" w:hAnsi="Libre Baskerville"/>
      <w:i/>
      <w:color w:val="auto"/>
      <w:sz w:val="36"/>
      <w:szCs w:val="36"/>
    </w:rPr>
  </w:style>
  <w:style w:type="character" w:customStyle="1" w:styleId="TitleChar">
    <w:name w:val="Title Char"/>
    <w:basedOn w:val="DefaultParagraphFont"/>
    <w:link w:val="Title"/>
    <w:uiPriority w:val="10"/>
    <w:rsid w:val="007507FD"/>
    <w:rPr>
      <w:rFonts w:ascii="Libre Baskerville" w:eastAsia="Times New Roman" w:hAnsi="Libre Baskerville" w:cs="Open Sans"/>
      <w:i/>
      <w:sz w:val="36"/>
      <w:szCs w:val="36"/>
      <w:shd w:val="clear" w:color="auto" w:fill="FFFFFF"/>
    </w:rPr>
  </w:style>
  <w:style w:type="paragraph" w:styleId="Subtitle">
    <w:name w:val="Subtitle"/>
    <w:aliases w:val="RRI Organization and Date"/>
    <w:basedOn w:val="Normal"/>
    <w:next w:val="Normal"/>
    <w:link w:val="SubtitleChar"/>
    <w:uiPriority w:val="11"/>
    <w:qFormat/>
    <w:rsid w:val="007507FD"/>
    <w:pPr>
      <w:spacing w:after="360"/>
    </w:pPr>
    <w:rPr>
      <w:rFonts w:ascii="Open Sans Light" w:hAnsi="Open Sans Light" w:cs="Open Sans Light"/>
      <w:caps/>
      <w:spacing w:val="20"/>
    </w:rPr>
  </w:style>
  <w:style w:type="character" w:customStyle="1" w:styleId="SubtitleChar">
    <w:name w:val="Subtitle Char"/>
    <w:aliases w:val="RRI Organization and Date Char"/>
    <w:basedOn w:val="DefaultParagraphFont"/>
    <w:link w:val="Subtitle"/>
    <w:uiPriority w:val="11"/>
    <w:rsid w:val="007507FD"/>
    <w:rPr>
      <w:rFonts w:ascii="Open Sans Light" w:eastAsia="Times New Roman" w:hAnsi="Open Sans Light" w:cs="Open Sans Light"/>
      <w:caps/>
      <w:color w:val="444444"/>
      <w:spacing w:val="20"/>
      <w:sz w:val="20"/>
      <w:shd w:val="clear" w:color="auto" w:fill="FFFFFF"/>
    </w:rPr>
  </w:style>
  <w:style w:type="character" w:customStyle="1" w:styleId="Heading2Char">
    <w:name w:val="Heading 2 Char"/>
    <w:basedOn w:val="DefaultParagraphFont"/>
    <w:link w:val="Heading2"/>
    <w:uiPriority w:val="9"/>
    <w:rsid w:val="0025566D"/>
    <w:rPr>
      <w:rFonts w:ascii="Open Sans" w:eastAsia="Times New Roman" w:hAnsi="Open Sans" w:cs="Open Sans"/>
      <w:b/>
      <w:i/>
      <w:color w:val="444444"/>
      <w:shd w:val="clear" w:color="auto" w:fill="FFFFFF"/>
    </w:rPr>
  </w:style>
  <w:style w:type="table" w:styleId="TableGrid">
    <w:name w:val="Table Grid"/>
    <w:basedOn w:val="TableNormal"/>
    <w:uiPriority w:val="39"/>
    <w:rsid w:val="008D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8D722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RRIBox">
    <w:name w:val="RRI Box"/>
    <w:basedOn w:val="TableNormal"/>
    <w:uiPriority w:val="99"/>
    <w:rsid w:val="008D722D"/>
    <w:pPr>
      <w:spacing w:after="0" w:line="240" w:lineRule="auto"/>
    </w:pPr>
    <w:rPr>
      <w:rFonts w:ascii="Open Sans" w:hAnsi="Open Sans"/>
      <w:sz w:val="18"/>
    </w:rPr>
    <w:tblPr>
      <w:tblCellMar>
        <w:top w:w="115" w:type="dxa"/>
        <w:left w:w="288" w:type="dxa"/>
        <w:bottom w:w="115" w:type="dxa"/>
        <w:right w:w="288" w:type="dxa"/>
      </w:tblCellMar>
    </w:tblPr>
    <w:tcPr>
      <w:shd w:val="clear" w:color="auto" w:fill="DDECD9"/>
    </w:tcPr>
  </w:style>
  <w:style w:type="paragraph" w:customStyle="1" w:styleId="TableHeading">
    <w:name w:val="Table Heading"/>
    <w:basedOn w:val="Normal"/>
    <w:qFormat/>
    <w:rsid w:val="00997E72"/>
    <w:pPr>
      <w:shd w:val="clear" w:color="auto" w:fill="auto"/>
      <w:spacing w:before="360"/>
    </w:pPr>
    <w:rPr>
      <w:b/>
    </w:rPr>
  </w:style>
  <w:style w:type="paragraph" w:styleId="ListParagraph">
    <w:name w:val="List Paragraph"/>
    <w:basedOn w:val="Normal"/>
    <w:uiPriority w:val="34"/>
    <w:qFormat/>
    <w:rsid w:val="00080722"/>
    <w:pPr>
      <w:ind w:left="720"/>
      <w:contextualSpacing/>
    </w:pPr>
  </w:style>
  <w:style w:type="paragraph" w:customStyle="1" w:styleId="TextunderHeading3">
    <w:name w:val="Text under Heading 3"/>
    <w:basedOn w:val="Normal"/>
    <w:qFormat/>
    <w:rsid w:val="00080722"/>
    <w:pPr>
      <w:ind w:left="720"/>
    </w:pPr>
  </w:style>
  <w:style w:type="character" w:customStyle="1" w:styleId="Heading3Char">
    <w:name w:val="Heading 3 Char"/>
    <w:basedOn w:val="DefaultParagraphFont"/>
    <w:link w:val="Heading3"/>
    <w:uiPriority w:val="9"/>
    <w:rsid w:val="00673913"/>
    <w:rPr>
      <w:rFonts w:ascii="Open Sans" w:eastAsia="Times New Roman" w:hAnsi="Open Sans" w:cs="Open Sans"/>
      <w:b/>
      <w:color w:val="444444"/>
      <w:sz w:val="20"/>
      <w:shd w:val="clear" w:color="auto" w:fill="FFFFFF"/>
    </w:rPr>
  </w:style>
  <w:style w:type="table" w:styleId="GridTable2-Accent6">
    <w:name w:val="Grid Table 2 Accent 6"/>
    <w:basedOn w:val="TableNormal"/>
    <w:uiPriority w:val="47"/>
    <w:rsid w:val="00997E7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997E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Style2">
    <w:name w:val="Style2"/>
    <w:basedOn w:val="GridTable4-Accent6"/>
    <w:uiPriority w:val="99"/>
    <w:rsid w:val="00971B1A"/>
    <w:rPr>
      <w:rFonts w:ascii="Open Sans" w:hAnsi="Open Sans"/>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7738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7388F"/>
    <w:rPr>
      <w:rFonts w:ascii="Open Sans" w:eastAsia="Times New Roman" w:hAnsi="Open Sans" w:cs="Open Sans"/>
      <w:color w:val="444444"/>
      <w:shd w:val="clear" w:color="auto" w:fill="FFFFFF"/>
    </w:rPr>
  </w:style>
  <w:style w:type="paragraph" w:styleId="Footer">
    <w:name w:val="footer"/>
    <w:basedOn w:val="Normal"/>
    <w:link w:val="FooterChar"/>
    <w:uiPriority w:val="99"/>
    <w:unhideWhenUsed/>
    <w:rsid w:val="0077388F"/>
    <w:pPr>
      <w:tabs>
        <w:tab w:val="center" w:pos="4680"/>
        <w:tab w:val="right" w:pos="9360"/>
      </w:tabs>
      <w:spacing w:before="0" w:after="0" w:line="240" w:lineRule="auto"/>
    </w:pPr>
  </w:style>
  <w:style w:type="table" w:styleId="ListTable4-Accent1">
    <w:name w:val="List Table 4 Accent 1"/>
    <w:basedOn w:val="TableNormal"/>
    <w:uiPriority w:val="49"/>
    <w:rsid w:val="000A43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FooterChar">
    <w:name w:val="Footer Char"/>
    <w:basedOn w:val="DefaultParagraphFont"/>
    <w:link w:val="Footer"/>
    <w:uiPriority w:val="99"/>
    <w:rsid w:val="0077388F"/>
    <w:rPr>
      <w:rFonts w:ascii="Open Sans" w:eastAsia="Times New Roman" w:hAnsi="Open Sans" w:cs="Open Sans"/>
      <w:color w:val="444444"/>
      <w:shd w:val="clear" w:color="auto" w:fill="FFFFFF"/>
    </w:rPr>
  </w:style>
  <w:style w:type="character" w:styleId="CommentReference">
    <w:name w:val="annotation reference"/>
    <w:basedOn w:val="DefaultParagraphFont"/>
    <w:uiPriority w:val="99"/>
    <w:semiHidden/>
    <w:unhideWhenUsed/>
    <w:rsid w:val="00441828"/>
    <w:rPr>
      <w:sz w:val="16"/>
      <w:szCs w:val="16"/>
    </w:rPr>
  </w:style>
  <w:style w:type="paragraph" w:styleId="CommentText">
    <w:name w:val="annotation text"/>
    <w:basedOn w:val="Normal"/>
    <w:link w:val="CommentTextChar"/>
    <w:uiPriority w:val="99"/>
    <w:unhideWhenUsed/>
    <w:rsid w:val="00441828"/>
    <w:pPr>
      <w:spacing w:line="240" w:lineRule="auto"/>
    </w:pPr>
    <w:rPr>
      <w:szCs w:val="20"/>
    </w:rPr>
  </w:style>
  <w:style w:type="character" w:customStyle="1" w:styleId="CommentTextChar">
    <w:name w:val="Comment Text Char"/>
    <w:basedOn w:val="DefaultParagraphFont"/>
    <w:link w:val="CommentText"/>
    <w:uiPriority w:val="99"/>
    <w:rsid w:val="00441828"/>
    <w:rPr>
      <w:rFonts w:ascii="Open Sans" w:eastAsia="Times New Roman" w:hAnsi="Open Sans" w:cs="Open Sans"/>
      <w:color w:val="444444"/>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441828"/>
    <w:rPr>
      <w:b/>
      <w:bCs/>
    </w:rPr>
  </w:style>
  <w:style w:type="character" w:customStyle="1" w:styleId="CommentSubjectChar">
    <w:name w:val="Comment Subject Char"/>
    <w:basedOn w:val="CommentTextChar"/>
    <w:link w:val="CommentSubject"/>
    <w:uiPriority w:val="99"/>
    <w:semiHidden/>
    <w:rsid w:val="00441828"/>
    <w:rPr>
      <w:rFonts w:ascii="Open Sans" w:eastAsia="Times New Roman" w:hAnsi="Open Sans" w:cs="Open Sans"/>
      <w:b/>
      <w:bCs/>
      <w:color w:val="444444"/>
      <w:sz w:val="20"/>
      <w:szCs w:val="20"/>
      <w:shd w:val="clear" w:color="auto" w:fill="FFFFFF"/>
    </w:rPr>
  </w:style>
  <w:style w:type="paragraph" w:styleId="BalloonText">
    <w:name w:val="Balloon Text"/>
    <w:basedOn w:val="Normal"/>
    <w:link w:val="BalloonTextChar"/>
    <w:uiPriority w:val="99"/>
    <w:semiHidden/>
    <w:unhideWhenUsed/>
    <w:rsid w:val="0044182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828"/>
    <w:rPr>
      <w:rFonts w:ascii="Segoe UI" w:eastAsia="Times New Roman" w:hAnsi="Segoe UI" w:cs="Segoe UI"/>
      <w:color w:val="444444"/>
      <w:sz w:val="18"/>
      <w:szCs w:val="18"/>
      <w:shd w:val="clear" w:color="auto" w:fill="FFFFFF"/>
    </w:rPr>
  </w:style>
  <w:style w:type="character" w:styleId="Hyperlink">
    <w:name w:val="Hyperlink"/>
    <w:basedOn w:val="DefaultParagraphFont"/>
    <w:uiPriority w:val="99"/>
    <w:unhideWhenUsed/>
    <w:rsid w:val="00D14D4E"/>
    <w:rPr>
      <w:color w:val="49A146"/>
      <w:u w:val="single"/>
    </w:rPr>
  </w:style>
  <w:style w:type="character" w:styleId="Mention">
    <w:name w:val="Mention"/>
    <w:basedOn w:val="DefaultParagraphFont"/>
    <w:uiPriority w:val="99"/>
    <w:semiHidden/>
    <w:unhideWhenUsed/>
    <w:rsid w:val="00D14D4E"/>
    <w:rPr>
      <w:color w:val="2B579A"/>
      <w:shd w:val="clear" w:color="auto" w:fill="E6E6E6"/>
    </w:rPr>
  </w:style>
  <w:style w:type="table" w:customStyle="1" w:styleId="RRI">
    <w:name w:val="RRI"/>
    <w:basedOn w:val="GridTable4-Accent6"/>
    <w:uiPriority w:val="99"/>
    <w:rsid w:val="009738ED"/>
    <w:rPr>
      <w:rFonts w:ascii="Open Sans" w:hAnsi="Open Sans"/>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rFonts w:ascii="Open Sans" w:hAnsi="Open Sans"/>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l2br w:val="nil"/>
          <w:tr2bl w:val="nil"/>
        </w:tcBorders>
        <w:shd w:val="clear" w:color="auto" w:fill="415A68"/>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2Vert">
      <w:tblPr/>
      <w:tcPr>
        <w:shd w:val="clear" w:color="auto" w:fill="DCE6ED"/>
      </w:tcPr>
    </w:tblStylePr>
    <w:tblStylePr w:type="band1Horz">
      <w:tblPr/>
      <w:tcPr>
        <w:shd w:val="clear" w:color="auto" w:fill="DCE6ED"/>
      </w:tcPr>
    </w:tblStylePr>
  </w:style>
  <w:style w:type="paragraph" w:customStyle="1" w:styleId="AuthorName">
    <w:name w:val="Author Name"/>
    <w:basedOn w:val="Normal"/>
    <w:qFormat/>
    <w:rsid w:val="005E201C"/>
    <w:pPr>
      <w:jc w:val="center"/>
    </w:pPr>
  </w:style>
  <w:style w:type="paragraph" w:styleId="TOCHeading">
    <w:name w:val="TOC Heading"/>
    <w:aliases w:val="Table of Contents Heading"/>
    <w:basedOn w:val="Heading1"/>
    <w:next w:val="Normal"/>
    <w:uiPriority w:val="39"/>
    <w:unhideWhenUsed/>
    <w:qFormat/>
    <w:rsid w:val="003E6BD5"/>
    <w:pPr>
      <w:keepNext/>
      <w:keepLines/>
      <w:shd w:val="clear" w:color="auto" w:fill="auto"/>
      <w:spacing w:after="0" w:line="259" w:lineRule="auto"/>
      <w:outlineLvl w:val="9"/>
    </w:pPr>
    <w:rPr>
      <w:rFonts w:eastAsiaTheme="majorEastAsia" w:cstheme="majorBidi"/>
      <w:szCs w:val="32"/>
    </w:rPr>
  </w:style>
  <w:style w:type="paragraph" w:styleId="TOC1">
    <w:name w:val="toc 1"/>
    <w:basedOn w:val="Normal"/>
    <w:next w:val="Normal"/>
    <w:autoRedefine/>
    <w:uiPriority w:val="39"/>
    <w:unhideWhenUsed/>
    <w:rsid w:val="00DA002E"/>
    <w:pPr>
      <w:tabs>
        <w:tab w:val="right" w:leader="dot" w:pos="9350"/>
      </w:tabs>
      <w:spacing w:after="100"/>
    </w:pPr>
    <w:rPr>
      <w:b/>
      <w:bCs/>
      <w:noProof/>
    </w:rPr>
  </w:style>
  <w:style w:type="paragraph" w:styleId="TOC2">
    <w:name w:val="toc 2"/>
    <w:basedOn w:val="Normal"/>
    <w:next w:val="Normal"/>
    <w:autoRedefine/>
    <w:uiPriority w:val="39"/>
    <w:unhideWhenUsed/>
    <w:rsid w:val="00B352BD"/>
    <w:pPr>
      <w:spacing w:after="100"/>
      <w:ind w:left="220"/>
    </w:pPr>
  </w:style>
  <w:style w:type="paragraph" w:styleId="TOC3">
    <w:name w:val="toc 3"/>
    <w:basedOn w:val="Normal"/>
    <w:next w:val="Normal"/>
    <w:autoRedefine/>
    <w:uiPriority w:val="39"/>
    <w:unhideWhenUsed/>
    <w:rsid w:val="00B352BD"/>
    <w:pPr>
      <w:spacing w:after="100"/>
      <w:ind w:left="440"/>
    </w:pPr>
  </w:style>
  <w:style w:type="paragraph" w:styleId="FootnoteText">
    <w:name w:val="footnote text"/>
    <w:basedOn w:val="Normal"/>
    <w:link w:val="FootnoteTextChar"/>
    <w:uiPriority w:val="99"/>
    <w:semiHidden/>
    <w:unhideWhenUsed/>
    <w:rsid w:val="00603DA5"/>
    <w:pPr>
      <w:shd w:val="clear" w:color="auto" w:fill="auto"/>
      <w:spacing w:before="0" w:after="0" w:line="240" w:lineRule="auto"/>
    </w:pPr>
    <w:rPr>
      <w:rFonts w:asciiTheme="minorHAnsi" w:eastAsiaTheme="minorHAnsi" w:hAnsiTheme="minorHAnsi" w:cstheme="minorBidi"/>
      <w:color w:val="auto"/>
      <w:szCs w:val="20"/>
    </w:rPr>
  </w:style>
  <w:style w:type="character" w:customStyle="1" w:styleId="FootnoteTextChar">
    <w:name w:val="Footnote Text Char"/>
    <w:basedOn w:val="DefaultParagraphFont"/>
    <w:link w:val="FootnoteText"/>
    <w:uiPriority w:val="99"/>
    <w:semiHidden/>
    <w:rsid w:val="00603DA5"/>
    <w:rPr>
      <w:sz w:val="20"/>
      <w:szCs w:val="20"/>
    </w:rPr>
  </w:style>
  <w:style w:type="character" w:styleId="FootnoteReference">
    <w:name w:val="footnote reference"/>
    <w:basedOn w:val="DefaultParagraphFont"/>
    <w:uiPriority w:val="99"/>
    <w:semiHidden/>
    <w:unhideWhenUsed/>
    <w:rsid w:val="00603DA5"/>
    <w:rPr>
      <w:vertAlign w:val="superscript"/>
    </w:rPr>
  </w:style>
  <w:style w:type="paragraph" w:styleId="Revision">
    <w:name w:val="Revision"/>
    <w:hidden/>
    <w:uiPriority w:val="99"/>
    <w:semiHidden/>
    <w:rsid w:val="00326996"/>
    <w:pPr>
      <w:spacing w:after="0" w:line="240" w:lineRule="auto"/>
    </w:pPr>
    <w:rPr>
      <w:rFonts w:ascii="Open Sans" w:eastAsia="Times New Roman" w:hAnsi="Open Sans" w:cs="Open Sans"/>
      <w:color w:val="444444"/>
      <w:sz w:val="20"/>
    </w:rPr>
  </w:style>
  <w:style w:type="character" w:styleId="UnresolvedMention">
    <w:name w:val="Unresolved Mention"/>
    <w:basedOn w:val="DefaultParagraphFont"/>
    <w:uiPriority w:val="99"/>
    <w:semiHidden/>
    <w:unhideWhenUsed/>
    <w:rsid w:val="0003249A"/>
    <w:rPr>
      <w:color w:val="605E5C"/>
      <w:shd w:val="clear" w:color="auto" w:fill="E1DFDD"/>
    </w:rPr>
  </w:style>
  <w:style w:type="character" w:styleId="FollowedHyperlink">
    <w:name w:val="FollowedHyperlink"/>
    <w:basedOn w:val="DefaultParagraphFont"/>
    <w:uiPriority w:val="99"/>
    <w:semiHidden/>
    <w:unhideWhenUsed/>
    <w:rsid w:val="00D51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9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htsandresources.org/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53892/JWJY227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ightsandresources.org/tenure-tracking/forest-and-land-ten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5F38-6CBF-42CF-AAD7-24A8D74F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Sanders</dc:creator>
  <cp:keywords/>
  <dc:description/>
  <cp:lastModifiedBy>Carolina Ronconi</cp:lastModifiedBy>
  <cp:revision>6</cp:revision>
  <dcterms:created xsi:type="dcterms:W3CDTF">2022-05-17T16:02:00Z</dcterms:created>
  <dcterms:modified xsi:type="dcterms:W3CDTF">2022-05-17T17:09:00Z</dcterms:modified>
</cp:coreProperties>
</file>